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A3E1" w14:textId="6B27E5E4" w:rsidR="00EF44BC" w:rsidRPr="00C84F38" w:rsidRDefault="00EF44BC" w:rsidP="00EF44BC">
      <w:pPr>
        <w:pStyle w:val="Header"/>
        <w:tabs>
          <w:tab w:val="right" w:pos="9639"/>
        </w:tabs>
        <w:rPr>
          <w:bCs/>
          <w:noProof w:val="0"/>
          <w:sz w:val="24"/>
          <w:szCs w:val="24"/>
        </w:rPr>
      </w:pPr>
      <w:r w:rsidRPr="00E862AA">
        <w:rPr>
          <w:bCs/>
          <w:noProof w:val="0"/>
          <w:sz w:val="28"/>
          <w:szCs w:val="24"/>
        </w:rPr>
        <w:t>3GP</w:t>
      </w:r>
      <w:bookmarkStart w:id="0" w:name="_GoBack"/>
      <w:bookmarkEnd w:id="0"/>
      <w:r w:rsidRPr="00E862AA">
        <w:rPr>
          <w:bCs/>
          <w:noProof w:val="0"/>
          <w:sz w:val="28"/>
          <w:szCs w:val="24"/>
        </w:rPr>
        <w:t>P TSG RAN WG1 Meeting #9</w:t>
      </w:r>
      <w:r w:rsidR="00DD2BA5">
        <w:rPr>
          <w:bCs/>
          <w:noProof w:val="0"/>
          <w:sz w:val="28"/>
          <w:szCs w:val="24"/>
        </w:rPr>
        <w:t>5</w:t>
      </w:r>
      <w:r>
        <w:rPr>
          <w:bCs/>
          <w:noProof w:val="0"/>
          <w:sz w:val="24"/>
          <w:szCs w:val="24"/>
        </w:rPr>
        <w:tab/>
      </w:r>
      <w:r w:rsidR="007D1F44" w:rsidRPr="007E44B2">
        <w:rPr>
          <w:bCs/>
          <w:noProof w:val="0"/>
          <w:sz w:val="28"/>
          <w:szCs w:val="28"/>
        </w:rPr>
        <w:t>R1-</w:t>
      </w:r>
      <w:r w:rsidR="00394B37" w:rsidRPr="007E44B2">
        <w:rPr>
          <w:bCs/>
          <w:noProof w:val="0"/>
          <w:sz w:val="28"/>
          <w:szCs w:val="28"/>
        </w:rPr>
        <w:t>18</w:t>
      </w:r>
      <w:r w:rsidR="009E7B9B" w:rsidRPr="007E44B2">
        <w:rPr>
          <w:bCs/>
          <w:noProof w:val="0"/>
          <w:sz w:val="28"/>
          <w:szCs w:val="28"/>
        </w:rPr>
        <w:t>12703</w:t>
      </w:r>
    </w:p>
    <w:p w14:paraId="76C3BA30" w14:textId="48A35FF9" w:rsidR="00EF44BC" w:rsidRDefault="00DD2BA5" w:rsidP="00EF44BC">
      <w:pPr>
        <w:pStyle w:val="Header"/>
        <w:rPr>
          <w:rFonts w:cs="Arial"/>
          <w:bCs/>
          <w:sz w:val="28"/>
        </w:rPr>
      </w:pPr>
      <w:r>
        <w:rPr>
          <w:rFonts w:cs="Arial"/>
          <w:bCs/>
          <w:sz w:val="28"/>
        </w:rPr>
        <w:t xml:space="preserve">Spokane, </w:t>
      </w:r>
      <w:r w:rsidR="00CE7B49">
        <w:rPr>
          <w:rFonts w:cs="Arial"/>
          <w:bCs/>
          <w:sz w:val="28"/>
        </w:rPr>
        <w:t xml:space="preserve">WA, </w:t>
      </w:r>
      <w:r>
        <w:rPr>
          <w:rFonts w:cs="Arial"/>
          <w:bCs/>
          <w:sz w:val="28"/>
        </w:rPr>
        <w:t>US</w:t>
      </w:r>
      <w:r w:rsidR="00CE7B49">
        <w:rPr>
          <w:rFonts w:cs="Arial"/>
          <w:bCs/>
          <w:sz w:val="28"/>
        </w:rPr>
        <w:t>A</w:t>
      </w:r>
      <w:r w:rsidR="00EF44BC">
        <w:rPr>
          <w:rFonts w:cs="Arial"/>
          <w:bCs/>
          <w:sz w:val="28"/>
        </w:rPr>
        <w:t>,</w:t>
      </w:r>
      <w:r w:rsidR="00EF44BC" w:rsidRPr="00A13D9B">
        <w:rPr>
          <w:rFonts w:cs="Arial"/>
          <w:bCs/>
          <w:sz w:val="28"/>
        </w:rPr>
        <w:t xml:space="preserve"> </w:t>
      </w:r>
      <w:r>
        <w:rPr>
          <w:rFonts w:cs="Arial"/>
          <w:bCs/>
          <w:sz w:val="28"/>
        </w:rPr>
        <w:t>12</w:t>
      </w:r>
      <w:r w:rsidR="00394B37">
        <w:rPr>
          <w:rFonts w:cs="Arial"/>
          <w:bCs/>
          <w:sz w:val="28"/>
        </w:rPr>
        <w:t xml:space="preserve"> – 1</w:t>
      </w:r>
      <w:r>
        <w:rPr>
          <w:rFonts w:cs="Arial"/>
          <w:bCs/>
          <w:sz w:val="28"/>
        </w:rPr>
        <w:t>6</w:t>
      </w:r>
      <w:r w:rsidR="00CE7B49">
        <w:rPr>
          <w:rFonts w:cs="Arial"/>
          <w:bCs/>
          <w:sz w:val="28"/>
        </w:rPr>
        <w:t>,</w:t>
      </w:r>
      <w:r w:rsidR="00394B37">
        <w:rPr>
          <w:rFonts w:cs="Arial"/>
          <w:bCs/>
          <w:sz w:val="28"/>
        </w:rPr>
        <w:t xml:space="preserve"> </w:t>
      </w:r>
      <w:r>
        <w:rPr>
          <w:rFonts w:cs="Arial"/>
          <w:bCs/>
          <w:sz w:val="28"/>
        </w:rPr>
        <w:t xml:space="preserve">November </w:t>
      </w:r>
      <w:r w:rsidR="00EF44BC">
        <w:rPr>
          <w:rFonts w:cs="Arial"/>
          <w:bCs/>
          <w:sz w:val="28"/>
        </w:rPr>
        <w:t>2018</w:t>
      </w:r>
    </w:p>
    <w:p w14:paraId="763EE237" w14:textId="77777777" w:rsidR="00EF44BC" w:rsidRPr="00A200C1" w:rsidRDefault="00EF44BC" w:rsidP="00EF44BC">
      <w:pPr>
        <w:pStyle w:val="Header"/>
        <w:rPr>
          <w:rFonts w:cs="Arial"/>
          <w:b w:val="0"/>
          <w:bCs/>
          <w:sz w:val="28"/>
        </w:rPr>
      </w:pPr>
    </w:p>
    <w:p w14:paraId="08AC4AD5" w14:textId="046F7ADB"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F1707">
        <w:rPr>
          <w:rFonts w:cs="Arial"/>
          <w:b/>
          <w:bCs/>
          <w:sz w:val="24"/>
        </w:rPr>
        <w:t>7.</w:t>
      </w:r>
      <w:r w:rsidR="0009556A">
        <w:rPr>
          <w:rFonts w:cs="Arial"/>
          <w:b/>
          <w:bCs/>
          <w:sz w:val="24"/>
        </w:rPr>
        <w:t>2</w:t>
      </w:r>
      <w:r w:rsidR="00EF1707">
        <w:rPr>
          <w:rFonts w:cs="Arial"/>
          <w:b/>
          <w:bCs/>
          <w:sz w:val="24"/>
        </w:rPr>
        <w:t>.</w:t>
      </w:r>
      <w:r w:rsidR="0009556A">
        <w:rPr>
          <w:rFonts w:cs="Arial"/>
          <w:b/>
          <w:bCs/>
          <w:sz w:val="24"/>
        </w:rPr>
        <w:t>3.3</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1696B54C"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7E69FB">
        <w:rPr>
          <w:rFonts w:ascii="Arial" w:hAnsi="Arial" w:cs="Arial"/>
          <w:b/>
          <w:bCs/>
          <w:sz w:val="24"/>
        </w:rPr>
        <w:t xml:space="preserve">IAB </w:t>
      </w:r>
      <w:r w:rsidR="00096A43">
        <w:rPr>
          <w:rFonts w:ascii="Arial" w:hAnsi="Arial" w:cs="Arial"/>
          <w:b/>
          <w:bCs/>
          <w:sz w:val="24"/>
        </w:rPr>
        <w:t>Timing</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7B20D7D" w14:textId="693B1608" w:rsidR="00B926CB" w:rsidRDefault="00DD2BA5" w:rsidP="00CB3C8E">
      <w:pPr>
        <w:spacing w:after="120"/>
      </w:pPr>
      <w:r>
        <w:t>RAN1#94bis</w:t>
      </w:r>
      <w:r w:rsidR="00B926CB">
        <w:t xml:space="preserve"> </w:t>
      </w:r>
      <w:r>
        <w:t xml:space="preserve">agreements </w:t>
      </w:r>
      <w:r w:rsidR="00EF44BC">
        <w:t>about the IAB timing</w:t>
      </w:r>
      <w:r w:rsidR="006C524F">
        <w:t xml:space="preserve"> options</w:t>
      </w:r>
      <w:r>
        <w:t xml:space="preserve"> were following</w:t>
      </w:r>
      <w:r w:rsidR="006C524F">
        <w:t xml:space="preserve"> </w:t>
      </w:r>
      <w:r w:rsidR="006C524F">
        <w:fldChar w:fldCharType="begin"/>
      </w:r>
      <w:r w:rsidR="006C524F">
        <w:instrText xml:space="preserve"> REF _Ref525649415 \r \h </w:instrText>
      </w:r>
      <w:r w:rsidR="006C524F">
        <w:fldChar w:fldCharType="separate"/>
      </w:r>
      <w:r w:rsidR="006C524F">
        <w:t>[2]</w:t>
      </w:r>
      <w:r w:rsidR="006C524F">
        <w:fldChar w:fldCharType="end"/>
      </w:r>
      <w:r w:rsidR="00EF44BC">
        <w:t>:</w:t>
      </w:r>
    </w:p>
    <w:p w14:paraId="4065E83E" w14:textId="77777777" w:rsidR="00DD2BA5" w:rsidRPr="00D77311" w:rsidRDefault="00DD2BA5" w:rsidP="00D77311">
      <w:pPr>
        <w:spacing w:after="60"/>
        <w:rPr>
          <w:rFonts w:cs="Arial"/>
          <w:szCs w:val="22"/>
        </w:rPr>
      </w:pPr>
      <w:r w:rsidRPr="00D77311">
        <w:rPr>
          <w:rFonts w:cs="Arial"/>
          <w:szCs w:val="22"/>
          <w:highlight w:val="green"/>
        </w:rPr>
        <w:t>Agreements:</w:t>
      </w:r>
    </w:p>
    <w:p w14:paraId="208B7009" w14:textId="77777777" w:rsidR="00DD2BA5" w:rsidRPr="00D77311" w:rsidRDefault="00DD2BA5" w:rsidP="00707399">
      <w:pPr>
        <w:numPr>
          <w:ilvl w:val="0"/>
          <w:numId w:val="3"/>
        </w:numPr>
        <w:overflowPunct/>
        <w:autoSpaceDE/>
        <w:autoSpaceDN/>
        <w:adjustRightInd/>
        <w:spacing w:after="0"/>
        <w:textAlignment w:val="auto"/>
        <w:rPr>
          <w:rFonts w:cs="Arial"/>
          <w:i/>
          <w:iCs/>
          <w:szCs w:val="22"/>
        </w:rPr>
      </w:pPr>
      <w:r w:rsidRPr="00D77311">
        <w:rPr>
          <w:rFonts w:cs="Arial"/>
          <w:i/>
          <w:iCs/>
          <w:szCs w:val="22"/>
        </w:rPr>
        <w:t>For Timing and Synchronization</w:t>
      </w:r>
    </w:p>
    <w:p w14:paraId="2055D71F" w14:textId="77777777" w:rsidR="00DD2BA5" w:rsidRPr="00D77311" w:rsidRDefault="00DD2BA5" w:rsidP="00707399">
      <w:pPr>
        <w:numPr>
          <w:ilvl w:val="1"/>
          <w:numId w:val="3"/>
        </w:numPr>
        <w:overflowPunct/>
        <w:autoSpaceDE/>
        <w:autoSpaceDN/>
        <w:adjustRightInd/>
        <w:spacing w:after="0"/>
        <w:textAlignment w:val="auto"/>
        <w:rPr>
          <w:rFonts w:cs="Arial"/>
          <w:i/>
          <w:iCs/>
          <w:szCs w:val="22"/>
        </w:rPr>
      </w:pPr>
      <w:r w:rsidRPr="00D77311">
        <w:rPr>
          <w:rFonts w:cs="Arial"/>
          <w:i/>
          <w:iCs/>
          <w:szCs w:val="22"/>
        </w:rPr>
        <w:t>For case #1 &amp; case #7, if DL TX and UL RX are not well aligned at the parent node, additional information about the alignment is needed for the child node to properly set its DL TX timing for OTA based timing &amp; synchronization</w:t>
      </w:r>
    </w:p>
    <w:p w14:paraId="182A8F8A" w14:textId="77777777" w:rsidR="00DD2BA5" w:rsidRPr="00D77311" w:rsidRDefault="00DD2BA5" w:rsidP="00707399">
      <w:pPr>
        <w:numPr>
          <w:ilvl w:val="1"/>
          <w:numId w:val="3"/>
        </w:numPr>
        <w:overflowPunct/>
        <w:autoSpaceDE/>
        <w:autoSpaceDN/>
        <w:adjustRightInd/>
        <w:spacing w:after="0"/>
        <w:textAlignment w:val="auto"/>
        <w:rPr>
          <w:rFonts w:cs="Arial"/>
          <w:i/>
          <w:iCs/>
          <w:szCs w:val="22"/>
        </w:rPr>
      </w:pPr>
      <w:r w:rsidRPr="003E1E73">
        <w:rPr>
          <w:rFonts w:cs="Arial"/>
          <w:i/>
          <w:szCs w:val="22"/>
          <w:highlight w:val="yellow"/>
          <w:lang w:val="x-none"/>
        </w:rPr>
        <w:t xml:space="preserve">Case #7 to be supported if and only if compatible with release 15 </w:t>
      </w:r>
      <w:proofErr w:type="spellStart"/>
      <w:r w:rsidRPr="003E1E73">
        <w:rPr>
          <w:rFonts w:cs="Arial"/>
          <w:i/>
          <w:szCs w:val="22"/>
          <w:highlight w:val="yellow"/>
          <w:lang w:val="x-none"/>
        </w:rPr>
        <w:t>Ues</w:t>
      </w:r>
      <w:proofErr w:type="spellEnd"/>
    </w:p>
    <w:p w14:paraId="33D15B5A" w14:textId="77777777" w:rsidR="00DD2BA5" w:rsidRPr="00D77311" w:rsidRDefault="00DD2BA5" w:rsidP="00707399">
      <w:pPr>
        <w:numPr>
          <w:ilvl w:val="2"/>
          <w:numId w:val="3"/>
        </w:numPr>
        <w:overflowPunct/>
        <w:autoSpaceDE/>
        <w:autoSpaceDN/>
        <w:adjustRightInd/>
        <w:spacing w:after="0"/>
        <w:textAlignment w:val="auto"/>
        <w:rPr>
          <w:rFonts w:cs="Arial"/>
          <w:i/>
          <w:iCs/>
          <w:szCs w:val="22"/>
        </w:rPr>
      </w:pPr>
      <w:r w:rsidRPr="00D77311">
        <w:rPr>
          <w:rFonts w:cs="Arial"/>
          <w:i/>
          <w:iCs/>
          <w:szCs w:val="22"/>
        </w:rPr>
        <w:t>Further check w.r.t. compatibility</w:t>
      </w:r>
    </w:p>
    <w:p w14:paraId="01AA6AB5" w14:textId="77777777" w:rsidR="00DD2BA5" w:rsidRPr="003E1E73" w:rsidRDefault="00DD2BA5" w:rsidP="00707399">
      <w:pPr>
        <w:numPr>
          <w:ilvl w:val="1"/>
          <w:numId w:val="3"/>
        </w:numPr>
        <w:overflowPunct/>
        <w:autoSpaceDE/>
        <w:autoSpaceDN/>
        <w:adjustRightInd/>
        <w:spacing w:after="0"/>
        <w:textAlignment w:val="auto"/>
        <w:rPr>
          <w:rFonts w:cs="Arial"/>
          <w:i/>
          <w:iCs/>
          <w:szCs w:val="22"/>
          <w:highlight w:val="yellow"/>
          <w:lang w:val="x-none"/>
        </w:rPr>
      </w:pPr>
      <w:r w:rsidRPr="003E1E73">
        <w:rPr>
          <w:rFonts w:cs="Arial"/>
          <w:i/>
          <w:iCs/>
          <w:szCs w:val="22"/>
          <w:highlight w:val="yellow"/>
          <w:lang w:val="x-none"/>
        </w:rPr>
        <w:t>Support of case #6 is FFS</w:t>
      </w:r>
    </w:p>
    <w:p w14:paraId="01CC6186" w14:textId="12E266BC" w:rsidR="00DD2BA5" w:rsidRPr="00D77311" w:rsidRDefault="00DD2BA5" w:rsidP="00707399">
      <w:pPr>
        <w:numPr>
          <w:ilvl w:val="1"/>
          <w:numId w:val="3"/>
        </w:numPr>
        <w:overflowPunct/>
        <w:autoSpaceDE/>
        <w:autoSpaceDN/>
        <w:adjustRightInd/>
        <w:spacing w:after="0"/>
        <w:textAlignment w:val="auto"/>
        <w:rPr>
          <w:rFonts w:cs="Arial"/>
          <w:i/>
          <w:iCs/>
          <w:szCs w:val="22"/>
          <w:lang w:val="x-none"/>
        </w:rPr>
      </w:pPr>
      <w:r w:rsidRPr="00D77311">
        <w:rPr>
          <w:rFonts w:cs="Arial"/>
          <w:i/>
          <w:iCs/>
          <w:szCs w:val="22"/>
          <w:lang w:val="x-none"/>
        </w:rPr>
        <w:t>No other cases are supported</w:t>
      </w:r>
    </w:p>
    <w:p w14:paraId="128BEE3A" w14:textId="77777777" w:rsidR="00D77311" w:rsidRDefault="00D77311" w:rsidP="00D77311">
      <w:pPr>
        <w:overflowPunct/>
        <w:autoSpaceDE/>
        <w:autoSpaceDN/>
        <w:adjustRightInd/>
        <w:spacing w:after="0"/>
        <w:textAlignment w:val="auto"/>
        <w:rPr>
          <w:rFonts w:cs="Arial"/>
          <w:iCs/>
          <w:sz w:val="22"/>
          <w:szCs w:val="22"/>
          <w:lang w:val="x-none"/>
        </w:rPr>
      </w:pPr>
    </w:p>
    <w:p w14:paraId="5409D5B6" w14:textId="454C971A" w:rsidR="00D77311" w:rsidRDefault="00D77311" w:rsidP="00EE1F1A">
      <w:r>
        <w:t>In this contribution</w:t>
      </w:r>
      <w:r w:rsidR="000E1790">
        <w:t>,</w:t>
      </w:r>
      <w:r>
        <w:t xml:space="preserve"> we elaborate the DL TX adjustment for </w:t>
      </w:r>
      <w:r w:rsidR="000E1790">
        <w:t xml:space="preserve">Cases </w:t>
      </w:r>
      <w:r>
        <w:t xml:space="preserve">#1 and #7 as well as the </w:t>
      </w:r>
      <w:r w:rsidR="000E1790">
        <w:t xml:space="preserve">Case </w:t>
      </w:r>
      <w:r>
        <w:t xml:space="preserve">#7 compatibility with Rel.15 UE. Furthermore, we analyse the feasibility of </w:t>
      </w:r>
      <w:r w:rsidR="000E1790">
        <w:t xml:space="preserve">Case </w:t>
      </w:r>
      <w:r>
        <w:t>#6 and what would be required to use that option.</w:t>
      </w:r>
    </w:p>
    <w:p w14:paraId="2EDADF91" w14:textId="1B17D583" w:rsidR="004C396E" w:rsidRPr="00CB3C8E" w:rsidRDefault="004C396E" w:rsidP="00EE1F1A"/>
    <w:p w14:paraId="10FD11CC" w14:textId="0A0E6622" w:rsidR="00062630" w:rsidRDefault="00062630" w:rsidP="00062630">
      <w:pPr>
        <w:pStyle w:val="Heading1"/>
      </w:pPr>
      <w:r>
        <w:rPr>
          <w:color w:val="000000"/>
        </w:rPr>
        <w:t>2</w:t>
      </w:r>
      <w:r w:rsidRPr="00A51522">
        <w:rPr>
          <w:color w:val="000000"/>
        </w:rPr>
        <w:tab/>
      </w:r>
      <w:r w:rsidR="005E7117">
        <w:t>Discussion</w:t>
      </w:r>
    </w:p>
    <w:p w14:paraId="378BDAF7" w14:textId="4313BB17" w:rsidR="00EA2D7E" w:rsidRDefault="00E70BB6" w:rsidP="00EA2D7E">
      <w:pPr>
        <w:pStyle w:val="Heading2"/>
        <w:rPr>
          <w:lang w:val="en-US"/>
        </w:rPr>
      </w:pPr>
      <w:r>
        <w:rPr>
          <w:lang w:val="en-US"/>
        </w:rPr>
        <w:t>2.1</w:t>
      </w:r>
      <w:r>
        <w:rPr>
          <w:lang w:val="en-US"/>
        </w:rPr>
        <w:tab/>
        <w:t>Cases #1 and #7</w:t>
      </w:r>
    </w:p>
    <w:p w14:paraId="10EAB8AC" w14:textId="3471775C" w:rsidR="00781A0F" w:rsidRDefault="00A922AA" w:rsidP="001E287E">
      <w:pPr>
        <w:spacing w:after="120"/>
        <w:jc w:val="both"/>
        <w:rPr>
          <w:rFonts w:eastAsia="MS Mincho"/>
          <w:lang w:eastAsia="ja-JP"/>
        </w:rPr>
      </w:pPr>
      <w:r>
        <w:rPr>
          <w:rFonts w:eastAsia="MS Mincho"/>
          <w:lang w:eastAsia="ja-JP"/>
        </w:rPr>
        <w:t xml:space="preserve">As discussed in </w:t>
      </w:r>
      <w:r>
        <w:rPr>
          <w:rFonts w:eastAsia="MS Mincho"/>
          <w:lang w:eastAsia="ja-JP"/>
        </w:rPr>
        <w:fldChar w:fldCharType="begin"/>
      </w:r>
      <w:r>
        <w:rPr>
          <w:rFonts w:eastAsia="MS Mincho"/>
          <w:lang w:eastAsia="ja-JP"/>
        </w:rPr>
        <w:instrText xml:space="preserve"> REF _Ref525649815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 xml:space="preserve">, </w:t>
      </w:r>
      <w:r w:rsidR="00281D1C">
        <w:rPr>
          <w:rFonts w:eastAsia="MS Mincho"/>
          <w:lang w:eastAsia="ja-JP"/>
        </w:rPr>
        <w:t xml:space="preserve">Case </w:t>
      </w:r>
      <w:r>
        <w:rPr>
          <w:rFonts w:eastAsia="MS Mincho"/>
          <w:lang w:eastAsia="ja-JP"/>
        </w:rPr>
        <w:t xml:space="preserve">#7 has the issue in a multi-hop scenario how to set the DL TX timing. The DL TX timing of a child node depends on the propagation delay of the parent node’s upstream BH link. This information is not available for a child node unless it is explicitly signalled. </w:t>
      </w:r>
      <w:r>
        <w:rPr>
          <w:rFonts w:eastAsia="MS Mincho"/>
          <w:lang w:eastAsia="ja-JP"/>
        </w:rPr>
        <w:fldChar w:fldCharType="begin"/>
      </w:r>
      <w:r>
        <w:rPr>
          <w:rFonts w:eastAsia="MS Mincho"/>
          <w:lang w:eastAsia="ja-JP"/>
        </w:rPr>
        <w:instrText xml:space="preserve"> REF _Ref527966687 \h </w:instrText>
      </w:r>
      <w:r>
        <w:rPr>
          <w:rFonts w:eastAsia="MS Mincho"/>
          <w:lang w:eastAsia="ja-JP"/>
        </w:rPr>
      </w:r>
      <w:r>
        <w:rPr>
          <w:rFonts w:eastAsia="MS Mincho"/>
          <w:lang w:eastAsia="ja-JP"/>
        </w:rPr>
        <w:fldChar w:fldCharType="separate"/>
      </w:r>
      <w:r>
        <w:t xml:space="preserve">Figure </w:t>
      </w:r>
      <w:r>
        <w:rPr>
          <w:noProof/>
        </w:rPr>
        <w:t>1</w:t>
      </w:r>
      <w:r>
        <w:rPr>
          <w:rFonts w:eastAsia="MS Mincho"/>
          <w:lang w:eastAsia="ja-JP"/>
        </w:rPr>
        <w:fldChar w:fldCharType="end"/>
      </w:r>
      <w:r>
        <w:rPr>
          <w:rFonts w:eastAsia="MS Mincho"/>
          <w:lang w:eastAsia="ja-JP"/>
        </w:rPr>
        <w:t xml:space="preserve"> illustrates a 2-hop scenario.</w:t>
      </w:r>
    </w:p>
    <w:p w14:paraId="31EF18A4" w14:textId="3C91281D" w:rsidR="001E287E" w:rsidRDefault="001E287E" w:rsidP="001E287E">
      <w:pPr>
        <w:spacing w:after="120"/>
        <w:jc w:val="both"/>
        <w:rPr>
          <w:rFonts w:eastAsia="MS Mincho"/>
          <w:lang w:eastAsia="ja-JP"/>
        </w:rPr>
      </w:pPr>
    </w:p>
    <w:p w14:paraId="27BCC6E4" w14:textId="19301FC3" w:rsidR="001E287E" w:rsidRDefault="00D65358" w:rsidP="004C0066">
      <w:pPr>
        <w:spacing w:after="120"/>
        <w:jc w:val="center"/>
        <w:rPr>
          <w:rFonts w:eastAsia="MS Mincho"/>
          <w:lang w:eastAsia="ja-JP"/>
        </w:rPr>
      </w:pPr>
      <w:r w:rsidRPr="00D65358">
        <w:rPr>
          <w:noProof/>
        </w:rPr>
        <w:drawing>
          <wp:inline distT="0" distB="0" distL="0" distR="0" wp14:anchorId="7B833874" wp14:editId="230B1A53">
            <wp:extent cx="6120765" cy="207644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076445"/>
                    </a:xfrm>
                    <a:prstGeom prst="rect">
                      <a:avLst/>
                    </a:prstGeom>
                    <a:noFill/>
                    <a:ln>
                      <a:noFill/>
                    </a:ln>
                  </pic:spPr>
                </pic:pic>
              </a:graphicData>
            </a:graphic>
          </wp:inline>
        </w:drawing>
      </w:r>
    </w:p>
    <w:p w14:paraId="213CCA8A" w14:textId="37E48CCB" w:rsidR="00281D1C" w:rsidRPr="00781A0F" w:rsidRDefault="00A922AA" w:rsidP="00A922AA">
      <w:pPr>
        <w:pStyle w:val="Caption"/>
        <w:jc w:val="center"/>
        <w:rPr>
          <w:rFonts w:eastAsia="MS Mincho"/>
          <w:lang w:eastAsia="ja-JP"/>
        </w:rPr>
      </w:pPr>
      <w:bookmarkStart w:id="1" w:name="_Ref527966687"/>
      <w:r>
        <w:t xml:space="preserve">Figure </w:t>
      </w:r>
      <w:r>
        <w:fldChar w:fldCharType="begin"/>
      </w:r>
      <w:r>
        <w:instrText xml:space="preserve"> SEQ Figure \* ARABIC </w:instrText>
      </w:r>
      <w:r>
        <w:fldChar w:fldCharType="separate"/>
      </w:r>
      <w:r w:rsidR="005B45B6">
        <w:rPr>
          <w:noProof/>
        </w:rPr>
        <w:t>1</w:t>
      </w:r>
      <w:r>
        <w:fldChar w:fldCharType="end"/>
      </w:r>
      <w:bookmarkEnd w:id="1"/>
      <w:r>
        <w:t>: Case 7 timing in a 2-hop IAB scenario</w:t>
      </w:r>
    </w:p>
    <w:p w14:paraId="7EC0E5A5" w14:textId="27254A79" w:rsidR="00781A0F" w:rsidRDefault="00781A0F" w:rsidP="0029518B">
      <w:pPr>
        <w:spacing w:after="120"/>
        <w:jc w:val="both"/>
        <w:rPr>
          <w:rFonts w:eastAsia="MS Mincho"/>
          <w:lang w:eastAsia="ja-JP"/>
        </w:rPr>
      </w:pPr>
    </w:p>
    <w:p w14:paraId="7DBC8AFB" w14:textId="14265955" w:rsidR="00BD3A66" w:rsidRDefault="00CE6DB7" w:rsidP="002720E1">
      <w:pPr>
        <w:spacing w:after="120"/>
        <w:jc w:val="both"/>
        <w:rPr>
          <w:rFonts w:eastAsia="MS Mincho"/>
          <w:lang w:eastAsia="ja-JP"/>
        </w:rPr>
      </w:pPr>
      <w:r>
        <w:rPr>
          <w:rFonts w:eastAsia="MS Mincho"/>
          <w:lang w:eastAsia="ja-JP"/>
        </w:rPr>
        <w:lastRenderedPageBreak/>
        <w:t xml:space="preserve">The </w:t>
      </w:r>
      <w:r w:rsidR="00BD3A66">
        <w:rPr>
          <w:rFonts w:eastAsia="MS Mincho"/>
          <w:lang w:eastAsia="ja-JP"/>
        </w:rPr>
        <w:t xml:space="preserve">initial time alignment value set with the RAR message is </w:t>
      </w:r>
      <w:r w:rsidR="00BD3A66">
        <w:rPr>
          <w:rFonts w:eastAsia="Times New Roman"/>
          <w:position w:val="-10"/>
        </w:rPr>
        <w:object w:dxaOrig="1680" w:dyaOrig="330" w14:anchorId="56A30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6.5pt" o:ole="">
            <v:imagedata r:id="rId14" o:title=""/>
          </v:shape>
          <o:OLEObject Type="Embed" ProgID="Equation.3" ShapeID="_x0000_i1025" DrawAspect="Content" ObjectID="_1602701919" r:id="rId15"/>
        </w:object>
      </w:r>
      <w:r w:rsidR="00BD3A66">
        <w:rPr>
          <w:rFonts w:eastAsia="Times New Roman"/>
        </w:rPr>
        <w:t>, where T</w:t>
      </w:r>
      <w:r w:rsidR="00BD3A66" w:rsidRPr="00BD3A66">
        <w:rPr>
          <w:rFonts w:eastAsia="Times New Roman"/>
          <w:vertAlign w:val="subscript"/>
        </w:rPr>
        <w:t>A</w:t>
      </w:r>
      <w:r w:rsidR="00BD3A66" w:rsidRPr="00BD3A66">
        <w:rPr>
          <w:rFonts w:eastAsia="Times New Roman"/>
        </w:rPr>
        <w:t xml:space="preserve"> = 0, 1, 2, ..., 3846</w:t>
      </w:r>
      <w:r w:rsidR="00BD3A66">
        <w:rPr>
          <w:rFonts w:eastAsia="Times New Roman"/>
        </w:rPr>
        <w:t xml:space="preserve"> and </w:t>
      </w:r>
      <w:r w:rsidR="00BD3A66" w:rsidRPr="00D53AF5">
        <w:rPr>
          <w:rFonts w:ascii="Symbol" w:eastAsia="MS Mincho" w:hAnsi="Symbol"/>
          <w:i/>
          <w:lang w:eastAsia="ja-JP"/>
        </w:rPr>
        <w:t></w:t>
      </w:r>
      <w:r w:rsidR="00BD3A66">
        <w:rPr>
          <w:rFonts w:eastAsia="MS Mincho"/>
          <w:lang w:eastAsia="ja-JP"/>
        </w:rPr>
        <w:t xml:space="preserve"> refers to sub-carrier spacing (</w:t>
      </w:r>
      <w:r w:rsidR="00BD3A66">
        <w:rPr>
          <w:rFonts w:eastAsia="Times New Roman"/>
          <w:position w:val="-6"/>
        </w:rPr>
        <w:object w:dxaOrig="570" w:dyaOrig="300" w14:anchorId="1B99194B">
          <v:shape id="_x0000_i1026" type="#_x0000_t75" style="width:28pt;height:15pt" o:ole="">
            <v:imagedata r:id="rId16" o:title=""/>
          </v:shape>
          <o:OLEObject Type="Embed" ProgID="Equation.3" ShapeID="_x0000_i1026" DrawAspect="Content" ObjectID="_1602701920" r:id="rId17"/>
        </w:object>
      </w:r>
      <w:r w:rsidR="002720E1">
        <w:rPr>
          <w:rFonts w:eastAsia="Times New Roman"/>
        </w:rPr>
        <w:t>kHz</w:t>
      </w:r>
      <w:r w:rsidR="00BD3A66">
        <w:rPr>
          <w:rFonts w:eastAsia="Times New Roman"/>
        </w:rPr>
        <w:t xml:space="preserve">). </w:t>
      </w:r>
      <w:r w:rsidR="002720E1">
        <w:rPr>
          <w:rFonts w:eastAsia="Times New Roman"/>
        </w:rPr>
        <w:t xml:space="preserve">After the initial access, </w:t>
      </w:r>
      <w:r w:rsidR="002720E1">
        <w:rPr>
          <w:rFonts w:eastAsia="MS Mincho"/>
          <w:lang w:eastAsia="ja-JP"/>
        </w:rPr>
        <w:t xml:space="preserve">TA adjustment is relative, i.e. the TA command indicates a “delta” to the used TA, </w:t>
      </w:r>
      <w:r w:rsidR="002720E1">
        <w:rPr>
          <w:rFonts w:eastAsia="MS Mincho"/>
          <w:lang w:eastAsia="ja-JP"/>
        </w:rPr>
        <w:fldChar w:fldCharType="begin"/>
      </w:r>
      <w:r w:rsidR="002720E1">
        <w:rPr>
          <w:rFonts w:eastAsia="MS Mincho"/>
          <w:lang w:eastAsia="ja-JP"/>
        </w:rPr>
        <w:instrText xml:space="preserve"> REF _Ref528137239 \r \h </w:instrText>
      </w:r>
      <w:r w:rsidR="002720E1">
        <w:rPr>
          <w:rFonts w:eastAsia="MS Mincho"/>
          <w:lang w:eastAsia="ja-JP"/>
        </w:rPr>
      </w:r>
      <w:r w:rsidR="002720E1">
        <w:rPr>
          <w:rFonts w:eastAsia="MS Mincho"/>
          <w:lang w:eastAsia="ja-JP"/>
        </w:rPr>
        <w:fldChar w:fldCharType="separate"/>
      </w:r>
      <w:r w:rsidR="002720E1">
        <w:rPr>
          <w:rFonts w:eastAsia="MS Mincho"/>
          <w:lang w:eastAsia="ja-JP"/>
        </w:rPr>
        <w:t>[4]</w:t>
      </w:r>
      <w:r w:rsidR="002720E1">
        <w:rPr>
          <w:rFonts w:eastAsia="MS Mincho"/>
          <w:lang w:eastAsia="ja-JP"/>
        </w:rPr>
        <w:fldChar w:fldCharType="end"/>
      </w:r>
      <w:r w:rsidR="002720E1">
        <w:rPr>
          <w:rFonts w:eastAsia="MS Mincho"/>
          <w:lang w:eastAsia="ja-JP"/>
        </w:rPr>
        <w:t xml:space="preserve">: </w:t>
      </w:r>
      <w:r w:rsidR="002720E1">
        <w:rPr>
          <w:rFonts w:eastAsia="Times New Roman"/>
          <w:position w:val="-12"/>
        </w:rPr>
        <w:object w:dxaOrig="3120" w:dyaOrig="375" w14:anchorId="3FDEDA92">
          <v:shape id="_x0000_i1027" type="#_x0000_t75" style="width:156pt;height:19pt" o:ole="">
            <v:imagedata r:id="rId18" o:title=""/>
          </v:shape>
          <o:OLEObject Type="Embed" ProgID="Equation.3" ShapeID="_x0000_i1027" DrawAspect="Content" ObjectID="_1602701921" r:id="rId19"/>
        </w:object>
      </w:r>
      <w:r w:rsidR="002720E1">
        <w:rPr>
          <w:rFonts w:eastAsia="MS Mincho"/>
          <w:lang w:eastAsia="ja-JP"/>
        </w:rPr>
        <w:t>, where T</w:t>
      </w:r>
      <w:r w:rsidR="002720E1" w:rsidRPr="00D53AF5">
        <w:rPr>
          <w:rFonts w:eastAsia="MS Mincho"/>
          <w:vertAlign w:val="subscript"/>
          <w:lang w:eastAsia="ja-JP"/>
        </w:rPr>
        <w:t>A</w:t>
      </w:r>
      <w:r w:rsidR="002720E1">
        <w:rPr>
          <w:rFonts w:eastAsia="MS Mincho"/>
          <w:lang w:eastAsia="ja-JP"/>
        </w:rPr>
        <w:t xml:space="preserve"> = 0, 1, 2,…, 63.</w:t>
      </w:r>
    </w:p>
    <w:p w14:paraId="224C48FF" w14:textId="18E833EC" w:rsidR="00A922AA" w:rsidRDefault="002720E1" w:rsidP="0029518B">
      <w:pPr>
        <w:spacing w:after="120"/>
        <w:jc w:val="both"/>
        <w:rPr>
          <w:rFonts w:eastAsia="MS Mincho"/>
          <w:lang w:eastAsia="ja-JP"/>
        </w:rPr>
      </w:pPr>
      <w:r>
        <w:rPr>
          <w:rFonts w:eastAsia="MS Mincho"/>
          <w:lang w:eastAsia="ja-JP"/>
        </w:rPr>
        <w:t xml:space="preserve">Used TA </w:t>
      </w:r>
      <w:r w:rsidR="00D729AE">
        <w:rPr>
          <w:rFonts w:eastAsia="MS Mincho"/>
          <w:lang w:eastAsia="ja-JP"/>
        </w:rPr>
        <w:t xml:space="preserve">is </w:t>
      </w:r>
      <w:r w:rsidR="00CE6DB7">
        <w:rPr>
          <w:rFonts w:eastAsia="MS Mincho"/>
          <w:lang w:eastAsia="ja-JP"/>
        </w:rPr>
        <w:t>(</w:t>
      </w:r>
      <w:proofErr w:type="spellStart"/>
      <w:r w:rsidR="00A02CDB">
        <w:rPr>
          <w:rFonts w:eastAsia="MS Mincho"/>
          <w:lang w:eastAsia="ja-JP"/>
        </w:rPr>
        <w:t>N</w:t>
      </w:r>
      <w:r w:rsidR="00D65358">
        <w:rPr>
          <w:rFonts w:eastAsia="MS Mincho"/>
          <w:vertAlign w:val="subscript"/>
          <w:lang w:eastAsia="ja-JP"/>
        </w:rPr>
        <w:t>TAo</w:t>
      </w:r>
      <w:r w:rsidR="00A3295D" w:rsidRPr="00D729AE">
        <w:rPr>
          <w:rFonts w:eastAsia="MS Mincho"/>
          <w:vertAlign w:val="subscript"/>
          <w:lang w:eastAsia="ja-JP"/>
        </w:rPr>
        <w:t>ffset</w:t>
      </w:r>
      <w:proofErr w:type="spellEnd"/>
      <w:r w:rsidR="00A3295D">
        <w:rPr>
          <w:rFonts w:eastAsia="MS Mincho"/>
          <w:lang w:eastAsia="ja-JP"/>
        </w:rPr>
        <w:t xml:space="preserve"> </w:t>
      </w:r>
      <w:r w:rsidR="00D729AE">
        <w:rPr>
          <w:rFonts w:eastAsia="MS Mincho"/>
          <w:lang w:eastAsia="ja-JP"/>
        </w:rPr>
        <w:t xml:space="preserve">+ </w:t>
      </w:r>
      <w:proofErr w:type="gramStart"/>
      <w:r w:rsidR="00D729AE">
        <w:rPr>
          <w:rFonts w:eastAsia="MS Mincho"/>
          <w:lang w:eastAsia="ja-JP"/>
        </w:rPr>
        <w:t>N</w:t>
      </w:r>
      <w:r w:rsidR="00D729AE" w:rsidRPr="00D729AE">
        <w:rPr>
          <w:rFonts w:eastAsia="MS Mincho"/>
          <w:vertAlign w:val="subscript"/>
          <w:lang w:eastAsia="ja-JP"/>
        </w:rPr>
        <w:t>TA</w:t>
      </w:r>
      <w:r w:rsidR="00CE6DB7">
        <w:rPr>
          <w:rFonts w:eastAsia="MS Mincho"/>
          <w:lang w:eastAsia="ja-JP"/>
        </w:rPr>
        <w:t>)*</w:t>
      </w:r>
      <w:proofErr w:type="gramEnd"/>
      <w:r w:rsidR="00CE6DB7">
        <w:rPr>
          <w:rFonts w:eastAsia="MS Mincho"/>
          <w:lang w:eastAsia="ja-JP"/>
        </w:rPr>
        <w:t>Tc,</w:t>
      </w:r>
      <w:r w:rsidR="00D729AE">
        <w:rPr>
          <w:rFonts w:eastAsia="MS Mincho"/>
          <w:lang w:eastAsia="ja-JP"/>
        </w:rPr>
        <w:t xml:space="preserve"> where the </w:t>
      </w:r>
      <w:proofErr w:type="spellStart"/>
      <w:r w:rsidR="00D729AE">
        <w:rPr>
          <w:rFonts w:eastAsia="MS Mincho"/>
          <w:lang w:eastAsia="ja-JP"/>
        </w:rPr>
        <w:t>N</w:t>
      </w:r>
      <w:r w:rsidR="00D65358">
        <w:rPr>
          <w:rFonts w:eastAsia="MS Mincho"/>
          <w:vertAlign w:val="subscript"/>
          <w:lang w:eastAsia="ja-JP"/>
        </w:rPr>
        <w:t>TAo</w:t>
      </w:r>
      <w:r w:rsidR="00D729AE" w:rsidRPr="00D729AE">
        <w:rPr>
          <w:rFonts w:eastAsia="MS Mincho"/>
          <w:vertAlign w:val="subscript"/>
          <w:lang w:eastAsia="ja-JP"/>
        </w:rPr>
        <w:t>ffset</w:t>
      </w:r>
      <w:proofErr w:type="spellEnd"/>
      <w:r w:rsidR="00D729AE">
        <w:rPr>
          <w:rFonts w:eastAsia="MS Mincho"/>
          <w:lang w:eastAsia="ja-JP"/>
        </w:rPr>
        <w:t xml:space="preserve"> is a value fixed or </w:t>
      </w:r>
      <w:r>
        <w:rPr>
          <w:rFonts w:eastAsia="MS Mincho"/>
          <w:lang w:eastAsia="ja-JP"/>
        </w:rPr>
        <w:t xml:space="preserve">signalled </w:t>
      </w:r>
      <w:r w:rsidR="00D729AE">
        <w:rPr>
          <w:rFonts w:eastAsia="MS Mincho"/>
          <w:lang w:eastAsia="ja-JP"/>
        </w:rPr>
        <w:t>by higher layers, N</w:t>
      </w:r>
      <w:r w:rsidR="00D729AE" w:rsidRPr="00D729AE">
        <w:rPr>
          <w:rFonts w:eastAsia="MS Mincho"/>
          <w:vertAlign w:val="subscript"/>
          <w:lang w:eastAsia="ja-JP"/>
        </w:rPr>
        <w:t>TA</w:t>
      </w:r>
      <w:r w:rsidR="00D729AE">
        <w:rPr>
          <w:rFonts w:eastAsia="MS Mincho"/>
          <w:lang w:eastAsia="ja-JP"/>
        </w:rPr>
        <w:t xml:space="preserve"> </w:t>
      </w:r>
      <w:r w:rsidR="00CE6DB7">
        <w:rPr>
          <w:rFonts w:eastAsia="MS Mincho"/>
          <w:lang w:eastAsia="ja-JP"/>
        </w:rPr>
        <w:t xml:space="preserve">is the </w:t>
      </w:r>
      <w:r>
        <w:rPr>
          <w:rFonts w:eastAsia="MS Mincho"/>
          <w:lang w:eastAsia="ja-JP"/>
        </w:rPr>
        <w:t xml:space="preserve">value controlled by the </w:t>
      </w:r>
      <w:r w:rsidR="00CE6DB7">
        <w:rPr>
          <w:rFonts w:eastAsia="MS Mincho"/>
          <w:lang w:eastAsia="ja-JP"/>
        </w:rPr>
        <w:t>TA</w:t>
      </w:r>
      <w:r>
        <w:rPr>
          <w:rFonts w:eastAsia="MS Mincho"/>
          <w:lang w:eastAsia="ja-JP"/>
        </w:rPr>
        <w:t xml:space="preserve"> loop. </w:t>
      </w:r>
      <w:r w:rsidR="00CE6DB7">
        <w:rPr>
          <w:rFonts w:eastAsia="MS Mincho"/>
          <w:lang w:eastAsia="ja-JP"/>
        </w:rPr>
        <w:t>Tc is the basic time unit defined in TS 38.211.</w:t>
      </w:r>
    </w:p>
    <w:p w14:paraId="43BBD5F3" w14:textId="1686147E" w:rsidR="007A36F5" w:rsidRDefault="007A36F5" w:rsidP="0029518B">
      <w:pPr>
        <w:spacing w:after="120"/>
        <w:jc w:val="both"/>
        <w:rPr>
          <w:rFonts w:eastAsia="MS Mincho"/>
          <w:lang w:eastAsia="ja-JP"/>
        </w:rPr>
      </w:pPr>
      <w:r>
        <w:rPr>
          <w:rFonts w:eastAsia="MS Mincho"/>
          <w:lang w:eastAsia="ja-JP"/>
        </w:rPr>
        <w:t xml:space="preserve">In TS 38.133 the </w:t>
      </w:r>
      <w:proofErr w:type="spellStart"/>
      <w:r>
        <w:rPr>
          <w:rFonts w:eastAsia="MS Mincho"/>
          <w:lang w:eastAsia="ja-JP"/>
        </w:rPr>
        <w:t>N</w:t>
      </w:r>
      <w:r w:rsidR="00D65358">
        <w:rPr>
          <w:rFonts w:eastAsia="MS Mincho"/>
          <w:vertAlign w:val="subscript"/>
          <w:lang w:eastAsia="ja-JP"/>
        </w:rPr>
        <w:t>TAo</w:t>
      </w:r>
      <w:r w:rsidRPr="00D729AE">
        <w:rPr>
          <w:rFonts w:eastAsia="MS Mincho"/>
          <w:vertAlign w:val="subscript"/>
          <w:lang w:eastAsia="ja-JP"/>
        </w:rPr>
        <w:t>ffset</w:t>
      </w:r>
      <w:proofErr w:type="spellEnd"/>
      <w:r>
        <w:rPr>
          <w:rFonts w:eastAsia="MS Mincho"/>
          <w:lang w:eastAsia="ja-JP"/>
        </w:rPr>
        <w:t xml:space="preserve"> values are defined as follows:</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7A36F5" w14:paraId="23594779" w14:textId="77777777" w:rsidTr="007A36F5">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83DA5DD" w14:textId="77777777" w:rsidR="007A36F5" w:rsidRDefault="007A36F5">
            <w:pPr>
              <w:pStyle w:val="TAH"/>
              <w:rPr>
                <w:lang w:eastAsia="zh-CN"/>
              </w:rPr>
            </w:pPr>
            <w:r>
              <w:rPr>
                <w:lang w:eastAsia="ko-KR"/>
              </w:rP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0010E622" w14:textId="56163756" w:rsidR="007A36F5" w:rsidRDefault="007A36F5">
            <w:pPr>
              <w:pStyle w:val="TAH"/>
              <w:rPr>
                <w:lang w:eastAsia="ko-KR"/>
              </w:rPr>
            </w:pPr>
            <w:bookmarkStart w:id="2" w:name="OLE_LINK15"/>
            <w:r>
              <w:rPr>
                <w:noProof/>
                <w:position w:val="-10"/>
                <w:lang w:eastAsia="ko-KR"/>
              </w:rPr>
              <w:drawing>
                <wp:inline distT="0" distB="0" distL="0" distR="0" wp14:anchorId="3004E7E0" wp14:editId="276E85F8">
                  <wp:extent cx="492760" cy="19113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2760" cy="191135"/>
                          </a:xfrm>
                          <a:prstGeom prst="rect">
                            <a:avLst/>
                          </a:prstGeom>
                          <a:noFill/>
                          <a:ln>
                            <a:noFill/>
                          </a:ln>
                        </pic:spPr>
                      </pic:pic>
                    </a:graphicData>
                  </a:graphic>
                </wp:inline>
              </w:drawing>
            </w:r>
            <w:bookmarkEnd w:id="2"/>
            <w:r>
              <w:rPr>
                <w:lang w:eastAsia="ko-KR"/>
              </w:rPr>
              <w:t>(Unit: T</w:t>
            </w:r>
            <w:r>
              <w:rPr>
                <w:vertAlign w:val="subscript"/>
                <w:lang w:eastAsia="ko-KR"/>
              </w:rPr>
              <w:t>C</w:t>
            </w:r>
            <w:r>
              <w:rPr>
                <w:lang w:eastAsia="ko-KR"/>
              </w:rPr>
              <w:t>)</w:t>
            </w:r>
          </w:p>
        </w:tc>
      </w:tr>
      <w:tr w:rsidR="007A36F5" w14:paraId="28D80387" w14:textId="77777777" w:rsidTr="007A36F5">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3317AB60" w14:textId="77777777" w:rsidR="007A36F5" w:rsidRDefault="007A36F5">
            <w:pPr>
              <w:pStyle w:val="TAL"/>
              <w:rPr>
                <w:rFonts w:eastAsia="MS Mincho"/>
                <w:lang w:eastAsia="ja-JP"/>
              </w:rPr>
            </w:pPr>
            <w:r>
              <w:rPr>
                <w:lang w:eastAsia="ko-KR"/>
              </w:rPr>
              <w:t>FR1 FDD band without LTE-NR coexistence cas</w:t>
            </w:r>
            <w:r>
              <w:rPr>
                <w:rFonts w:eastAsia="MS Mincho"/>
                <w:lang w:eastAsia="ja-JP"/>
              </w:rPr>
              <w:t>e or FR1 T</w:t>
            </w:r>
            <w:r>
              <w:rPr>
                <w:lang w:eastAsia="ko-KR"/>
              </w:rPr>
              <w:t>DD band without LTE-NR coexistence case</w:t>
            </w:r>
            <w:r>
              <w:rPr>
                <w:rFonts w:ascii="MS Mincho" w:eastAsia="MS Mincho" w:hAnsi="MS Mincho" w:hint="eastAsia"/>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2E164EC1" w14:textId="77777777" w:rsidR="007A36F5" w:rsidRDefault="007A36F5">
            <w:pPr>
              <w:pStyle w:val="TAL"/>
              <w:rPr>
                <w:rFonts w:eastAsia="MS Mincho" w:cs="v4.2.0"/>
                <w:lang w:eastAsia="ja-JP"/>
              </w:rPr>
            </w:pPr>
            <w:r>
              <w:rPr>
                <w:rFonts w:cs="v4.2.0"/>
                <w:lang w:eastAsia="ja-JP"/>
              </w:rPr>
              <w:t>2560</w:t>
            </w:r>
            <w:r>
              <w:rPr>
                <w:rFonts w:cs="v4.2.0"/>
                <w:lang w:eastAsia="ko-KR"/>
              </w:rPr>
              <w:t>0</w:t>
            </w:r>
            <w:r>
              <w:rPr>
                <w:rFonts w:eastAsia="MS Mincho" w:cs="v4.2.0"/>
                <w:lang w:eastAsia="ja-JP"/>
              </w:rPr>
              <w:t xml:space="preserve"> (Note 1)</w:t>
            </w:r>
          </w:p>
        </w:tc>
      </w:tr>
      <w:tr w:rsidR="007A36F5" w14:paraId="3F2A4544" w14:textId="77777777" w:rsidTr="007A36F5">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020C1B7A" w14:textId="77777777" w:rsidR="007A36F5" w:rsidRDefault="007A36F5">
            <w:pPr>
              <w:pStyle w:val="TAL"/>
              <w:rPr>
                <w:lang w:eastAsia="ko-KR"/>
              </w:rPr>
            </w:pPr>
            <w:bookmarkStart w:id="3" w:name="OLE_LINK72"/>
            <w:r>
              <w:rPr>
                <w:lang w:eastAsia="zh-CN"/>
              </w:rPr>
              <w:t>FR1 FDD band with LTE-NR coexistence case</w:t>
            </w:r>
            <w:bookmarkEnd w:id="3"/>
          </w:p>
        </w:tc>
        <w:tc>
          <w:tcPr>
            <w:tcW w:w="1714" w:type="pct"/>
            <w:tcBorders>
              <w:top w:val="single" w:sz="4" w:space="0" w:color="auto"/>
              <w:left w:val="single" w:sz="4" w:space="0" w:color="auto"/>
              <w:bottom w:val="single" w:sz="4" w:space="0" w:color="auto"/>
              <w:right w:val="single" w:sz="4" w:space="0" w:color="auto"/>
            </w:tcBorders>
            <w:hideMark/>
          </w:tcPr>
          <w:p w14:paraId="2586CB19" w14:textId="77777777" w:rsidR="007A36F5" w:rsidRDefault="007A36F5">
            <w:pPr>
              <w:pStyle w:val="TAL"/>
              <w:rPr>
                <w:rFonts w:eastAsia="MS Mincho"/>
                <w:lang w:eastAsia="ja-JP"/>
              </w:rPr>
            </w:pPr>
            <w:r>
              <w:rPr>
                <w:rFonts w:cs="v4.2.0"/>
                <w:lang w:eastAsia="ko-KR"/>
              </w:rPr>
              <w:t>0</w:t>
            </w:r>
            <w:r>
              <w:rPr>
                <w:rFonts w:eastAsia="MS Mincho" w:cs="v4.2.0"/>
                <w:lang w:eastAsia="ja-JP"/>
              </w:rPr>
              <w:t xml:space="preserve"> </w:t>
            </w:r>
            <w:r>
              <w:rPr>
                <w:rFonts w:cs="v4.2.0"/>
                <w:lang w:eastAsia="zh-CN"/>
              </w:rPr>
              <w:t>(Note 1)</w:t>
            </w:r>
          </w:p>
        </w:tc>
      </w:tr>
      <w:tr w:rsidR="007A36F5" w14:paraId="376C4D28" w14:textId="77777777" w:rsidTr="007A36F5">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53B0219C" w14:textId="77777777" w:rsidR="007A36F5" w:rsidRDefault="007A36F5">
            <w:pPr>
              <w:pStyle w:val="TAL"/>
              <w:rPr>
                <w:rFonts w:eastAsia="MS Mincho"/>
                <w:lang w:eastAsia="ja-JP"/>
              </w:rPr>
            </w:pPr>
            <w:r>
              <w:rPr>
                <w:lang w:eastAsia="ko-KR"/>
              </w:rPr>
              <w:t>FR1 TDD band</w:t>
            </w:r>
            <w:r>
              <w:rPr>
                <w:rFonts w:eastAsia="MS Mincho"/>
                <w:lang w:eastAsia="ja-JP"/>
              </w:rPr>
              <w:t xml:space="preserve"> </w:t>
            </w:r>
            <w:r>
              <w:rPr>
                <w:lang w:eastAsia="zh-CN"/>
              </w:rPr>
              <w:t>with LTE-NR coexistence case</w:t>
            </w:r>
          </w:p>
        </w:tc>
        <w:tc>
          <w:tcPr>
            <w:tcW w:w="1714" w:type="pct"/>
            <w:tcBorders>
              <w:top w:val="single" w:sz="4" w:space="0" w:color="auto"/>
              <w:left w:val="single" w:sz="4" w:space="0" w:color="auto"/>
              <w:bottom w:val="single" w:sz="4" w:space="0" w:color="auto"/>
              <w:right w:val="single" w:sz="4" w:space="0" w:color="auto"/>
            </w:tcBorders>
            <w:hideMark/>
          </w:tcPr>
          <w:p w14:paraId="27064AB2" w14:textId="77777777" w:rsidR="007A36F5" w:rsidRDefault="007A36F5">
            <w:pPr>
              <w:pStyle w:val="TAL"/>
              <w:rPr>
                <w:rFonts w:cs="v4.2.0"/>
                <w:lang w:eastAsia="zh-CN"/>
              </w:rPr>
            </w:pPr>
            <w:r>
              <w:rPr>
                <w:rFonts w:cs="v4.2.0"/>
                <w:lang w:eastAsia="ko-KR"/>
              </w:rPr>
              <w:t>39936</w:t>
            </w:r>
            <w:r>
              <w:rPr>
                <w:rFonts w:cs="v4.2.0"/>
                <w:lang w:eastAsia="zh-CN"/>
              </w:rPr>
              <w:t xml:space="preserve"> or 25600 (Note 1)</w:t>
            </w:r>
          </w:p>
        </w:tc>
      </w:tr>
      <w:tr w:rsidR="007A36F5" w14:paraId="1774B41D" w14:textId="77777777" w:rsidTr="007A36F5">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50D8BDBD" w14:textId="77777777" w:rsidR="007A36F5" w:rsidRDefault="007A36F5">
            <w:pPr>
              <w:pStyle w:val="TAL"/>
              <w:rPr>
                <w:lang w:eastAsia="ko-KR"/>
              </w:rPr>
            </w:pPr>
            <w:r>
              <w:rPr>
                <w:lang w:eastAsia="ko-KR"/>
              </w:rPr>
              <w:t>FR2</w:t>
            </w:r>
          </w:p>
        </w:tc>
        <w:tc>
          <w:tcPr>
            <w:tcW w:w="1714" w:type="pct"/>
            <w:tcBorders>
              <w:top w:val="single" w:sz="4" w:space="0" w:color="auto"/>
              <w:left w:val="single" w:sz="4" w:space="0" w:color="auto"/>
              <w:bottom w:val="single" w:sz="4" w:space="0" w:color="auto"/>
              <w:right w:val="single" w:sz="4" w:space="0" w:color="auto"/>
            </w:tcBorders>
            <w:hideMark/>
          </w:tcPr>
          <w:p w14:paraId="25F3DD12" w14:textId="77777777" w:rsidR="007A36F5" w:rsidRDefault="007A36F5">
            <w:pPr>
              <w:pStyle w:val="TAL"/>
              <w:rPr>
                <w:rFonts w:cs="v4.2.0"/>
                <w:lang w:eastAsia="ko-KR"/>
              </w:rPr>
            </w:pPr>
            <w:r>
              <w:rPr>
                <w:rFonts w:cs="v4.2.0"/>
                <w:lang w:eastAsia="ko-KR"/>
              </w:rPr>
              <w:t>13792</w:t>
            </w:r>
          </w:p>
        </w:tc>
      </w:tr>
      <w:tr w:rsidR="007A36F5" w14:paraId="44C1148B" w14:textId="77777777" w:rsidTr="007A36F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32E7554" w14:textId="1F73D562" w:rsidR="007A36F5" w:rsidRDefault="007A36F5">
            <w:pPr>
              <w:pStyle w:val="TAN"/>
              <w:rPr>
                <w:lang w:eastAsia="ko-KR"/>
              </w:rPr>
            </w:pPr>
            <w:r>
              <w:rPr>
                <w:lang w:eastAsia="ko-KR"/>
              </w:rPr>
              <w:t>Note 1:</w:t>
            </w:r>
            <w:r>
              <w:rPr>
                <w:lang w:eastAsia="ko-KR"/>
              </w:rPr>
              <w:tab/>
              <w:t xml:space="preserve">The UE identifies </w:t>
            </w:r>
            <w:r>
              <w:rPr>
                <w:b/>
                <w:noProof/>
                <w:position w:val="-10"/>
                <w:lang w:eastAsia="ko-KR"/>
              </w:rPr>
              <w:drawing>
                <wp:inline distT="0" distB="0" distL="0" distR="0" wp14:anchorId="474045A8" wp14:editId="384FF022">
                  <wp:extent cx="492760" cy="19113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2760" cy="191135"/>
                          </a:xfrm>
                          <a:prstGeom prst="rect">
                            <a:avLst/>
                          </a:prstGeom>
                          <a:noFill/>
                          <a:ln>
                            <a:noFill/>
                          </a:ln>
                        </pic:spPr>
                      </pic:pic>
                    </a:graphicData>
                  </a:graphic>
                </wp:inline>
              </w:drawing>
            </w:r>
            <w:r>
              <w:rPr>
                <w:lang w:eastAsia="ko-KR"/>
              </w:rPr>
              <w:t xml:space="preserve"> based on the information n-</w:t>
            </w:r>
            <w:proofErr w:type="spellStart"/>
            <w:r w:rsidR="00D65358">
              <w:rPr>
                <w:lang w:eastAsia="ko-KR"/>
              </w:rPr>
              <w:t>TimingAdvanceOffset</w:t>
            </w:r>
            <w:proofErr w:type="spellEnd"/>
            <w:r>
              <w:rPr>
                <w:lang w:eastAsia="ko-KR"/>
              </w:rPr>
              <w:t xml:space="preserve"> according to [2]. If UE do not receive the information n-</w:t>
            </w:r>
            <w:proofErr w:type="spellStart"/>
            <w:r>
              <w:rPr>
                <w:lang w:eastAsia="ko-KR"/>
              </w:rPr>
              <w:t>TimingAdvanceOffset</w:t>
            </w:r>
            <w:proofErr w:type="spellEnd"/>
            <w:r>
              <w:rPr>
                <w:lang w:eastAsia="ko-KR"/>
              </w:rPr>
              <w:t xml:space="preserve">, the default value of </w:t>
            </w:r>
            <w:r>
              <w:rPr>
                <w:b/>
                <w:noProof/>
                <w:position w:val="-10"/>
                <w:lang w:eastAsia="ko-KR"/>
              </w:rPr>
              <w:drawing>
                <wp:inline distT="0" distB="0" distL="0" distR="0" wp14:anchorId="07BD0A3D" wp14:editId="29E626CA">
                  <wp:extent cx="492760" cy="19113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2760" cy="191135"/>
                          </a:xfrm>
                          <a:prstGeom prst="rect">
                            <a:avLst/>
                          </a:prstGeom>
                          <a:noFill/>
                          <a:ln>
                            <a:noFill/>
                          </a:ln>
                        </pic:spPr>
                      </pic:pic>
                    </a:graphicData>
                  </a:graphic>
                </wp:inline>
              </w:drawing>
            </w:r>
            <w:r>
              <w:rPr>
                <w:lang w:eastAsia="ko-KR"/>
              </w:rPr>
              <w:t xml:space="preserve"> is set as </w:t>
            </w:r>
            <w:r>
              <w:rPr>
                <w:lang w:eastAsia="ja-JP"/>
              </w:rPr>
              <w:t>2560</w:t>
            </w:r>
            <w:r>
              <w:rPr>
                <w:lang w:eastAsia="ko-KR"/>
              </w:rPr>
              <w:t>0 for FR1 band.</w:t>
            </w:r>
          </w:p>
          <w:p w14:paraId="58580B94" w14:textId="378F8319" w:rsidR="007A36F5" w:rsidRDefault="007A36F5">
            <w:pPr>
              <w:pStyle w:val="TAN"/>
              <w:rPr>
                <w:lang w:eastAsia="ko-KR"/>
              </w:rPr>
            </w:pPr>
            <w:r>
              <w:rPr>
                <w:lang w:eastAsia="ko-KR"/>
              </w:rPr>
              <w:t>Note 2:</w:t>
            </w:r>
            <w:r>
              <w:rPr>
                <w:lang w:eastAsia="ko-KR"/>
              </w:rPr>
              <w:tab/>
              <w:t xml:space="preserve">The value of </w:t>
            </w:r>
            <w:r>
              <w:rPr>
                <w:b/>
                <w:noProof/>
                <w:position w:val="-10"/>
                <w:lang w:eastAsia="ko-KR"/>
              </w:rPr>
              <w:drawing>
                <wp:inline distT="0" distB="0" distL="0" distR="0" wp14:anchorId="7A3E6F38" wp14:editId="654F8ADF">
                  <wp:extent cx="492760" cy="19113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2760" cy="191135"/>
                          </a:xfrm>
                          <a:prstGeom prst="rect">
                            <a:avLst/>
                          </a:prstGeom>
                          <a:noFill/>
                          <a:ln>
                            <a:noFill/>
                          </a:ln>
                        </pic:spPr>
                      </pic:pic>
                    </a:graphicData>
                  </a:graphic>
                </wp:inline>
              </w:drawing>
            </w:r>
            <w:r>
              <w:rPr>
                <w:b/>
                <w:lang w:eastAsia="ko-KR"/>
              </w:rPr>
              <w:t xml:space="preserve"> </w:t>
            </w:r>
            <w:r>
              <w:rPr>
                <w:lang w:eastAsia="ko-KR"/>
              </w:rPr>
              <w:t>that applies to the supplementary UL carrier is determined from the non-supplementary UL carrier.</w:t>
            </w:r>
          </w:p>
        </w:tc>
      </w:tr>
    </w:tbl>
    <w:p w14:paraId="09BD3FD2" w14:textId="77777777" w:rsidR="007A36F5" w:rsidRPr="007A36F5" w:rsidRDefault="007A36F5" w:rsidP="0029518B">
      <w:pPr>
        <w:spacing w:after="120"/>
        <w:jc w:val="both"/>
        <w:rPr>
          <w:rFonts w:eastAsia="MS Mincho"/>
          <w:lang w:val="en-US" w:eastAsia="ja-JP"/>
        </w:rPr>
      </w:pPr>
    </w:p>
    <w:p w14:paraId="06E1FFF7" w14:textId="5299C35E" w:rsidR="00A922AA" w:rsidRDefault="00F36C68" w:rsidP="0029518B">
      <w:pPr>
        <w:spacing w:after="120"/>
        <w:jc w:val="both"/>
        <w:rPr>
          <w:rFonts w:eastAsia="MS Mincho"/>
          <w:lang w:eastAsia="ja-JP"/>
        </w:rPr>
      </w:pPr>
      <w:r>
        <w:rPr>
          <w:rFonts w:eastAsia="MS Mincho"/>
          <w:lang w:eastAsia="ja-JP"/>
        </w:rPr>
        <w:t>The</w:t>
      </w:r>
      <w:r w:rsidR="00681F5B" w:rsidRPr="00681F5B">
        <w:rPr>
          <w:rFonts w:eastAsia="MS Mincho"/>
          <w:lang w:eastAsia="ja-JP"/>
        </w:rPr>
        <w:t xml:space="preserve"> </w:t>
      </w:r>
      <w:proofErr w:type="spellStart"/>
      <w:r w:rsidR="00681F5B">
        <w:rPr>
          <w:rFonts w:eastAsia="MS Mincho"/>
          <w:lang w:eastAsia="ja-JP"/>
        </w:rPr>
        <w:t>N</w:t>
      </w:r>
      <w:r w:rsidR="00D65358">
        <w:rPr>
          <w:rFonts w:eastAsia="MS Mincho"/>
          <w:vertAlign w:val="subscript"/>
          <w:lang w:eastAsia="ja-JP"/>
        </w:rPr>
        <w:t>TAo</w:t>
      </w:r>
      <w:r w:rsidR="00681F5B" w:rsidRPr="00D729AE">
        <w:rPr>
          <w:rFonts w:eastAsia="MS Mincho"/>
          <w:vertAlign w:val="subscript"/>
          <w:lang w:eastAsia="ja-JP"/>
        </w:rPr>
        <w:t>ffset</w:t>
      </w:r>
      <w:proofErr w:type="spellEnd"/>
      <w:r>
        <w:rPr>
          <w:rFonts w:eastAsia="MS Mincho"/>
          <w:lang w:eastAsia="ja-JP"/>
        </w:rPr>
        <w:t xml:space="preserve"> is thus dependent on used frequency band (FR1/FR2) and</w:t>
      </w:r>
      <w:r w:rsidR="00681F5B">
        <w:rPr>
          <w:rFonts w:eastAsia="MS Mincho"/>
          <w:lang w:eastAsia="ja-JP"/>
        </w:rPr>
        <w:t xml:space="preserve"> coexistence </w:t>
      </w:r>
      <w:r w:rsidR="00AF30DC">
        <w:rPr>
          <w:rFonts w:eastAsia="MS Mincho"/>
          <w:lang w:eastAsia="ja-JP"/>
        </w:rPr>
        <w:t xml:space="preserve">with </w:t>
      </w:r>
      <w:r w:rsidR="00681F5B">
        <w:rPr>
          <w:rFonts w:eastAsia="MS Mincho"/>
          <w:lang w:eastAsia="ja-JP"/>
        </w:rPr>
        <w:t xml:space="preserve">LTE. The value </w:t>
      </w:r>
      <w:r w:rsidR="00031E62">
        <w:rPr>
          <w:rFonts w:eastAsia="MS Mincho"/>
          <w:lang w:eastAsia="ja-JP"/>
        </w:rPr>
        <w:t xml:space="preserve">can be indicated </w:t>
      </w:r>
      <w:r w:rsidR="00681F5B">
        <w:rPr>
          <w:rFonts w:eastAsia="MS Mincho"/>
          <w:lang w:eastAsia="ja-JP"/>
        </w:rPr>
        <w:t>in SIB1 or in dedicated signalling.</w:t>
      </w:r>
      <w:r w:rsidR="00031E62">
        <w:rPr>
          <w:rFonts w:eastAsia="MS Mincho"/>
          <w:lang w:eastAsia="ja-JP"/>
        </w:rPr>
        <w:t xml:space="preserve"> If the IE is omitted the default value of 25600 is used in FR1. In FR2 is it fixed to 13792.</w:t>
      </w:r>
    </w:p>
    <w:p w14:paraId="098EDDDA" w14:textId="72F9D703" w:rsidR="00A72E6D" w:rsidRDefault="00A72E6D" w:rsidP="0029518B">
      <w:pPr>
        <w:spacing w:after="120"/>
        <w:jc w:val="both"/>
        <w:rPr>
          <w:rFonts w:eastAsia="MS Mincho"/>
          <w:lang w:eastAsia="ja-JP"/>
        </w:rPr>
      </w:pPr>
      <w:r>
        <w:rPr>
          <w:rFonts w:eastAsia="MS Mincho"/>
          <w:lang w:eastAsia="ja-JP"/>
        </w:rPr>
        <w:t xml:space="preserve">The serving node has in principle possibility to adjust the UL timing freely. However, in IAB case the TA loop should adjust the timing so that the UL timing is according to indicated </w:t>
      </w:r>
      <w:proofErr w:type="spellStart"/>
      <w:r>
        <w:rPr>
          <w:rFonts w:eastAsia="MS Mincho"/>
          <w:lang w:eastAsia="ja-JP"/>
        </w:rPr>
        <w:t>TAoffset</w:t>
      </w:r>
      <w:proofErr w:type="spellEnd"/>
      <w:r>
        <w:rPr>
          <w:rFonts w:eastAsia="MS Mincho"/>
          <w:lang w:eastAsia="ja-JP"/>
        </w:rPr>
        <w:t xml:space="preserve"> enabling the IAB node to calculate the propagation delay over the BH link.</w:t>
      </w:r>
      <w:r w:rsidR="00033651">
        <w:rPr>
          <w:rFonts w:eastAsia="MS Mincho"/>
          <w:lang w:eastAsia="ja-JP"/>
        </w:rPr>
        <w:t xml:space="preserve"> The calculation </w:t>
      </w:r>
      <w:r w:rsidR="00C64964">
        <w:rPr>
          <w:rFonts w:eastAsia="MS Mincho"/>
          <w:lang w:eastAsia="ja-JP"/>
        </w:rPr>
        <w:t xml:space="preserve">for the BH link to Donor </w:t>
      </w:r>
      <w:r w:rsidR="00033651">
        <w:rPr>
          <w:rFonts w:eastAsia="MS Mincho"/>
          <w:lang w:eastAsia="ja-JP"/>
        </w:rPr>
        <w:t>is as follows:</w:t>
      </w:r>
    </w:p>
    <w:p w14:paraId="09EF3247" w14:textId="618428B1" w:rsidR="00033651" w:rsidRDefault="00033651" w:rsidP="00C64964">
      <w:pPr>
        <w:spacing w:after="240"/>
        <w:ind w:left="284"/>
        <w:jc w:val="both"/>
        <w:rPr>
          <w:rFonts w:eastAsia="MS Mincho"/>
          <w:lang w:eastAsia="ja-JP"/>
        </w:rPr>
      </w:pPr>
      <w:r>
        <w:rPr>
          <w:rFonts w:eastAsia="MS Mincho"/>
          <w:lang w:eastAsia="ja-JP"/>
        </w:rPr>
        <w:t xml:space="preserve">TP = </w:t>
      </w:r>
      <w:r w:rsidR="00C64964">
        <w:rPr>
          <w:rFonts w:eastAsia="MS Mincho"/>
          <w:lang w:eastAsia="ja-JP"/>
        </w:rPr>
        <w:t>0.5*</w:t>
      </w:r>
      <w:r>
        <w:rPr>
          <w:rFonts w:eastAsia="MS Mincho"/>
          <w:lang w:eastAsia="ja-JP"/>
        </w:rPr>
        <w:t>(N’</w:t>
      </w:r>
      <w:r w:rsidRPr="00D729AE">
        <w:rPr>
          <w:rFonts w:eastAsia="MS Mincho"/>
          <w:vertAlign w:val="subscript"/>
          <w:lang w:eastAsia="ja-JP"/>
        </w:rPr>
        <w:t>TA</w:t>
      </w:r>
      <w:r>
        <w:rPr>
          <w:rFonts w:eastAsia="MS Mincho"/>
          <w:lang w:eastAsia="ja-JP"/>
        </w:rPr>
        <w:t xml:space="preserve"> -</w:t>
      </w:r>
      <w:r w:rsidRPr="00033651">
        <w:rPr>
          <w:rFonts w:eastAsia="MS Mincho"/>
          <w:lang w:eastAsia="ja-JP"/>
        </w:rPr>
        <w:t xml:space="preserve"> </w:t>
      </w:r>
      <w:proofErr w:type="spellStart"/>
      <w:proofErr w:type="gramStart"/>
      <w:r>
        <w:rPr>
          <w:rFonts w:eastAsia="MS Mincho"/>
          <w:lang w:eastAsia="ja-JP"/>
        </w:rPr>
        <w:t>N</w:t>
      </w:r>
      <w:r>
        <w:rPr>
          <w:rFonts w:eastAsia="MS Mincho"/>
          <w:vertAlign w:val="subscript"/>
          <w:lang w:eastAsia="ja-JP"/>
        </w:rPr>
        <w:t>TAo</w:t>
      </w:r>
      <w:r w:rsidRPr="00D729AE">
        <w:rPr>
          <w:rFonts w:eastAsia="MS Mincho"/>
          <w:vertAlign w:val="subscript"/>
          <w:lang w:eastAsia="ja-JP"/>
        </w:rPr>
        <w:t>ffset</w:t>
      </w:r>
      <w:proofErr w:type="spellEnd"/>
      <w:r>
        <w:rPr>
          <w:rFonts w:eastAsia="MS Mincho"/>
          <w:lang w:eastAsia="ja-JP"/>
        </w:rPr>
        <w:t>)*</w:t>
      </w:r>
      <w:proofErr w:type="gramEnd"/>
      <w:r>
        <w:rPr>
          <w:rFonts w:eastAsia="MS Mincho"/>
          <w:lang w:eastAsia="ja-JP"/>
        </w:rPr>
        <w:t>Tc, where N’</w:t>
      </w:r>
      <w:r w:rsidRPr="00D729AE">
        <w:rPr>
          <w:rFonts w:eastAsia="MS Mincho"/>
          <w:vertAlign w:val="subscript"/>
          <w:lang w:eastAsia="ja-JP"/>
        </w:rPr>
        <w:t>TA</w:t>
      </w:r>
      <w:r>
        <w:rPr>
          <w:rFonts w:eastAsia="MS Mincho"/>
          <w:lang w:eastAsia="ja-JP"/>
        </w:rPr>
        <w:t xml:space="preserve"> is current value for TA used by the IAB node.</w:t>
      </w:r>
    </w:p>
    <w:p w14:paraId="6F4688AE" w14:textId="4F07ECD8" w:rsidR="00A72E6D" w:rsidRPr="00A72E6D" w:rsidRDefault="00A72E6D" w:rsidP="00A72E6D">
      <w:pPr>
        <w:spacing w:after="240"/>
        <w:jc w:val="both"/>
        <w:rPr>
          <w:rFonts w:eastAsia="MS Mincho"/>
          <w:b/>
          <w:lang w:eastAsia="ja-JP"/>
        </w:rPr>
      </w:pPr>
      <w:r w:rsidRPr="00A72E6D">
        <w:rPr>
          <w:rFonts w:eastAsia="MS Mincho"/>
          <w:b/>
          <w:lang w:eastAsia="ja-JP"/>
        </w:rPr>
        <w:t>Observation</w:t>
      </w:r>
      <w:r w:rsidR="00667C28">
        <w:rPr>
          <w:rFonts w:eastAsia="MS Mincho"/>
          <w:b/>
          <w:lang w:eastAsia="ja-JP"/>
        </w:rPr>
        <w:t xml:space="preserve"> 1</w:t>
      </w:r>
      <w:r w:rsidRPr="00A72E6D">
        <w:rPr>
          <w:rFonts w:eastAsia="MS Mincho"/>
          <w:b/>
          <w:lang w:eastAsia="ja-JP"/>
        </w:rPr>
        <w:t xml:space="preserve">: The serving node should always adjust the UL timing according to indicated </w:t>
      </w:r>
      <w:proofErr w:type="spellStart"/>
      <w:r w:rsidRPr="00A72E6D">
        <w:rPr>
          <w:rFonts w:eastAsia="MS Mincho"/>
          <w:b/>
          <w:lang w:eastAsia="ja-JP"/>
        </w:rPr>
        <w:t>TAoffset</w:t>
      </w:r>
      <w:proofErr w:type="spellEnd"/>
      <w:r w:rsidRPr="00A72E6D">
        <w:rPr>
          <w:rFonts w:eastAsia="MS Mincho"/>
          <w:b/>
          <w:lang w:eastAsia="ja-JP"/>
        </w:rPr>
        <w:t xml:space="preserve"> to enable accurate estimation of the propagation delay over the BH link.</w:t>
      </w:r>
    </w:p>
    <w:p w14:paraId="20D06D13" w14:textId="52DCE9FA" w:rsidR="00A72E6D" w:rsidRDefault="00A72E6D" w:rsidP="00A72E6D">
      <w:pPr>
        <w:spacing w:after="120"/>
        <w:jc w:val="both"/>
        <w:rPr>
          <w:rFonts w:eastAsia="MS Mincho"/>
          <w:lang w:eastAsia="ja-JP"/>
        </w:rPr>
      </w:pPr>
      <w:r>
        <w:rPr>
          <w:rFonts w:eastAsia="MS Mincho"/>
          <w:lang w:eastAsia="ja-JP"/>
        </w:rPr>
        <w:t xml:space="preserve">In the example illustrated in </w:t>
      </w:r>
      <w:r>
        <w:rPr>
          <w:rFonts w:eastAsia="MS Mincho"/>
          <w:lang w:eastAsia="ja-JP"/>
        </w:rPr>
        <w:fldChar w:fldCharType="begin"/>
      </w:r>
      <w:r>
        <w:rPr>
          <w:rFonts w:eastAsia="MS Mincho"/>
          <w:lang w:eastAsia="ja-JP"/>
        </w:rPr>
        <w:instrText xml:space="preserve"> REF _Ref527966687 \h </w:instrText>
      </w:r>
      <w:r>
        <w:rPr>
          <w:rFonts w:eastAsia="MS Mincho"/>
          <w:lang w:eastAsia="ja-JP"/>
        </w:rPr>
      </w:r>
      <w:r>
        <w:rPr>
          <w:rFonts w:eastAsia="MS Mincho"/>
          <w:lang w:eastAsia="ja-JP"/>
        </w:rPr>
        <w:fldChar w:fldCharType="separate"/>
      </w:r>
      <w:r>
        <w:t xml:space="preserve">Figure </w:t>
      </w:r>
      <w:r>
        <w:rPr>
          <w:noProof/>
        </w:rPr>
        <w:t>1</w:t>
      </w:r>
      <w:r>
        <w:rPr>
          <w:rFonts w:eastAsia="MS Mincho"/>
          <w:lang w:eastAsia="ja-JP"/>
        </w:rPr>
        <w:fldChar w:fldCharType="end"/>
      </w:r>
      <w:r>
        <w:rPr>
          <w:rFonts w:eastAsia="MS Mincho"/>
          <w:lang w:eastAsia="ja-JP"/>
        </w:rPr>
        <w:t>, TP</w:t>
      </w:r>
      <w:r w:rsidRPr="001B5A0D">
        <w:rPr>
          <w:rFonts w:eastAsia="MS Mincho"/>
          <w:vertAlign w:val="subscript"/>
          <w:lang w:eastAsia="ja-JP"/>
        </w:rPr>
        <w:t>BH#1</w:t>
      </w:r>
      <w:r>
        <w:rPr>
          <w:rFonts w:eastAsia="MS Mincho"/>
          <w:lang w:eastAsia="ja-JP"/>
        </w:rPr>
        <w:t>, estimated by the IAB Node#1 from the TA</w:t>
      </w:r>
      <w:r w:rsidRPr="001B5A0D">
        <w:rPr>
          <w:rFonts w:eastAsia="MS Mincho"/>
          <w:vertAlign w:val="subscript"/>
          <w:lang w:eastAsia="ja-JP"/>
        </w:rPr>
        <w:t>BH#1</w:t>
      </w:r>
      <w:r>
        <w:rPr>
          <w:rFonts w:eastAsia="MS Mincho"/>
          <w:lang w:eastAsia="ja-JP"/>
        </w:rPr>
        <w:t xml:space="preserve"> (TP</w:t>
      </w:r>
      <w:r w:rsidRPr="001B5A0D">
        <w:rPr>
          <w:rFonts w:eastAsia="MS Mincho"/>
          <w:vertAlign w:val="subscript"/>
          <w:lang w:eastAsia="ja-JP"/>
        </w:rPr>
        <w:t>BH#1</w:t>
      </w:r>
      <w:r>
        <w:rPr>
          <w:rFonts w:eastAsia="MS Mincho"/>
          <w:lang w:eastAsia="ja-JP"/>
        </w:rPr>
        <w:t xml:space="preserve"> = </w:t>
      </w:r>
      <w:r w:rsidR="00C64964">
        <w:rPr>
          <w:rFonts w:eastAsia="MS Mincho"/>
          <w:lang w:eastAsia="ja-JP"/>
        </w:rPr>
        <w:t>0.5*(N’</w:t>
      </w:r>
      <w:r w:rsidR="00C64964" w:rsidRPr="00D729AE">
        <w:rPr>
          <w:rFonts w:eastAsia="MS Mincho"/>
          <w:vertAlign w:val="subscript"/>
          <w:lang w:eastAsia="ja-JP"/>
        </w:rPr>
        <w:t>TA</w:t>
      </w:r>
      <w:r w:rsidR="00C64964">
        <w:rPr>
          <w:rFonts w:eastAsia="MS Mincho"/>
          <w:lang w:eastAsia="ja-JP"/>
        </w:rPr>
        <w:t xml:space="preserve"> -</w:t>
      </w:r>
      <w:r w:rsidR="00C64964" w:rsidRPr="00033651">
        <w:rPr>
          <w:rFonts w:eastAsia="MS Mincho"/>
          <w:lang w:eastAsia="ja-JP"/>
        </w:rPr>
        <w:t xml:space="preserve"> </w:t>
      </w:r>
      <w:proofErr w:type="spellStart"/>
      <w:proofErr w:type="gramStart"/>
      <w:r w:rsidR="00C64964">
        <w:rPr>
          <w:rFonts w:eastAsia="MS Mincho"/>
          <w:lang w:eastAsia="ja-JP"/>
        </w:rPr>
        <w:t>N</w:t>
      </w:r>
      <w:r w:rsidR="00C64964">
        <w:rPr>
          <w:rFonts w:eastAsia="MS Mincho"/>
          <w:vertAlign w:val="subscript"/>
          <w:lang w:eastAsia="ja-JP"/>
        </w:rPr>
        <w:t>TAo</w:t>
      </w:r>
      <w:r w:rsidR="00C64964" w:rsidRPr="00D729AE">
        <w:rPr>
          <w:rFonts w:eastAsia="MS Mincho"/>
          <w:vertAlign w:val="subscript"/>
          <w:lang w:eastAsia="ja-JP"/>
        </w:rPr>
        <w:t>ffset</w:t>
      </w:r>
      <w:proofErr w:type="spellEnd"/>
      <w:r w:rsidR="00C64964">
        <w:rPr>
          <w:rFonts w:eastAsia="MS Mincho"/>
          <w:lang w:eastAsia="ja-JP"/>
        </w:rPr>
        <w:t>)*</w:t>
      </w:r>
      <w:proofErr w:type="gramEnd"/>
      <w:r w:rsidR="00C64964">
        <w:rPr>
          <w:rFonts w:eastAsia="MS Mincho"/>
          <w:lang w:eastAsia="ja-JP"/>
        </w:rPr>
        <w:t>Tc</w:t>
      </w:r>
      <w:r>
        <w:rPr>
          <w:rFonts w:eastAsia="MS Mincho"/>
          <w:lang w:eastAsia="ja-JP"/>
        </w:rPr>
        <w:t>), must be signalled to the IAB Node#2. The propagation delay on the BH#2 can be then calculated IAB Node#2 in following way:</w:t>
      </w:r>
    </w:p>
    <w:p w14:paraId="76F5424C" w14:textId="7B01E5FF" w:rsidR="00A72E6D" w:rsidRPr="00A3295D" w:rsidRDefault="00A72E6D" w:rsidP="00A72E6D">
      <w:pPr>
        <w:spacing w:after="120"/>
        <w:ind w:left="284"/>
        <w:jc w:val="both"/>
        <w:rPr>
          <w:rFonts w:eastAsia="MS Mincho"/>
          <w:lang w:eastAsia="ja-JP"/>
        </w:rPr>
      </w:pPr>
      <w:r>
        <w:rPr>
          <w:rFonts w:eastAsia="MS Mincho"/>
          <w:lang w:eastAsia="ja-JP"/>
        </w:rPr>
        <w:t>TP</w:t>
      </w:r>
      <w:r w:rsidRPr="001B5A0D">
        <w:rPr>
          <w:rFonts w:eastAsia="MS Mincho"/>
          <w:vertAlign w:val="subscript"/>
          <w:lang w:eastAsia="ja-JP"/>
        </w:rPr>
        <w:t>BH#</w:t>
      </w:r>
      <w:r>
        <w:rPr>
          <w:rFonts w:eastAsia="MS Mincho"/>
          <w:vertAlign w:val="subscript"/>
          <w:lang w:eastAsia="ja-JP"/>
        </w:rPr>
        <w:t>2</w:t>
      </w:r>
      <w:r>
        <w:rPr>
          <w:rFonts w:eastAsia="MS Mincho"/>
          <w:lang w:eastAsia="ja-JP"/>
        </w:rPr>
        <w:t xml:space="preserve"> = 0.5*(TA</w:t>
      </w:r>
      <w:r w:rsidRPr="001B5A0D">
        <w:rPr>
          <w:rFonts w:eastAsia="MS Mincho"/>
          <w:vertAlign w:val="subscript"/>
          <w:lang w:eastAsia="ja-JP"/>
        </w:rPr>
        <w:t>BH#</w:t>
      </w:r>
      <w:r>
        <w:rPr>
          <w:rFonts w:eastAsia="MS Mincho"/>
          <w:vertAlign w:val="subscript"/>
          <w:lang w:eastAsia="ja-JP"/>
        </w:rPr>
        <w:t>2</w:t>
      </w:r>
      <w:r>
        <w:rPr>
          <w:rFonts w:eastAsia="MS Mincho"/>
          <w:lang w:eastAsia="ja-JP"/>
        </w:rPr>
        <w:t xml:space="preserve"> + TP</w:t>
      </w:r>
      <w:r w:rsidRPr="001B5A0D">
        <w:rPr>
          <w:rFonts w:eastAsia="MS Mincho"/>
          <w:vertAlign w:val="subscript"/>
          <w:lang w:eastAsia="ja-JP"/>
        </w:rPr>
        <w:t>BH#1</w:t>
      </w:r>
      <w:r>
        <w:rPr>
          <w:rFonts w:eastAsia="MS Mincho"/>
          <w:lang w:eastAsia="ja-JP"/>
        </w:rPr>
        <w:t>), where the term TP</w:t>
      </w:r>
      <w:r w:rsidRPr="001B5A0D">
        <w:rPr>
          <w:rFonts w:eastAsia="MS Mincho"/>
          <w:vertAlign w:val="subscript"/>
          <w:lang w:eastAsia="ja-JP"/>
        </w:rPr>
        <w:t>BH#1</w:t>
      </w:r>
      <w:r w:rsidR="00153BC5">
        <w:rPr>
          <w:rFonts w:eastAsia="MS Mincho"/>
          <w:lang w:eastAsia="ja-JP"/>
        </w:rPr>
        <w:t xml:space="preserve"> is signalled and TA</w:t>
      </w:r>
      <w:r w:rsidR="00153BC5" w:rsidRPr="001B5A0D">
        <w:rPr>
          <w:rFonts w:eastAsia="MS Mincho"/>
          <w:vertAlign w:val="subscript"/>
          <w:lang w:eastAsia="ja-JP"/>
        </w:rPr>
        <w:t>BH#</w:t>
      </w:r>
      <w:r w:rsidR="00153BC5">
        <w:rPr>
          <w:rFonts w:eastAsia="MS Mincho"/>
          <w:vertAlign w:val="subscript"/>
          <w:lang w:eastAsia="ja-JP"/>
        </w:rPr>
        <w:t>2</w:t>
      </w:r>
      <w:r w:rsidR="00153BC5">
        <w:rPr>
          <w:rFonts w:eastAsia="MS Mincho"/>
          <w:lang w:eastAsia="ja-JP"/>
        </w:rPr>
        <w:t xml:space="preserve"> = 0.5*(N’</w:t>
      </w:r>
      <w:r w:rsidR="00153BC5" w:rsidRPr="00D729AE">
        <w:rPr>
          <w:rFonts w:eastAsia="MS Mincho"/>
          <w:vertAlign w:val="subscript"/>
          <w:lang w:eastAsia="ja-JP"/>
        </w:rPr>
        <w:t>TA</w:t>
      </w:r>
      <w:r w:rsidR="00153BC5">
        <w:rPr>
          <w:rFonts w:eastAsia="MS Mincho"/>
          <w:lang w:eastAsia="ja-JP"/>
        </w:rPr>
        <w:t xml:space="preserve"> -</w:t>
      </w:r>
      <w:r w:rsidR="00153BC5" w:rsidRPr="00033651">
        <w:rPr>
          <w:rFonts w:eastAsia="MS Mincho"/>
          <w:lang w:eastAsia="ja-JP"/>
        </w:rPr>
        <w:t xml:space="preserve"> </w:t>
      </w:r>
      <w:r w:rsidR="00153BC5">
        <w:rPr>
          <w:rFonts w:eastAsia="MS Mincho"/>
          <w:lang w:eastAsia="ja-JP"/>
        </w:rPr>
        <w:t>N</w:t>
      </w:r>
      <w:r w:rsidR="00153BC5">
        <w:rPr>
          <w:rFonts w:eastAsia="MS Mincho"/>
          <w:vertAlign w:val="subscript"/>
          <w:lang w:eastAsia="ja-JP"/>
        </w:rPr>
        <w:t>TAo</w:t>
      </w:r>
      <w:r w:rsidR="00153BC5" w:rsidRPr="00D729AE">
        <w:rPr>
          <w:rFonts w:eastAsia="MS Mincho"/>
          <w:vertAlign w:val="subscript"/>
          <w:lang w:eastAsia="ja-JP"/>
        </w:rPr>
        <w:t>ffset</w:t>
      </w:r>
      <w:proofErr w:type="gramStart"/>
      <w:r w:rsidR="00153BC5">
        <w:rPr>
          <w:rFonts w:eastAsia="MS Mincho"/>
          <w:vertAlign w:val="subscript"/>
          <w:lang w:eastAsia="ja-JP"/>
        </w:rPr>
        <w:t>2</w:t>
      </w:r>
      <w:r w:rsidR="00153BC5">
        <w:rPr>
          <w:rFonts w:eastAsia="MS Mincho"/>
          <w:lang w:eastAsia="ja-JP"/>
        </w:rPr>
        <w:t>)*</w:t>
      </w:r>
      <w:proofErr w:type="gramEnd"/>
      <w:r w:rsidR="00153BC5">
        <w:rPr>
          <w:rFonts w:eastAsia="MS Mincho"/>
          <w:lang w:eastAsia="ja-JP"/>
        </w:rPr>
        <w:t>Tc),</w:t>
      </w:r>
    </w:p>
    <w:p w14:paraId="6039B48D" w14:textId="1E1009B3" w:rsidR="00A72E6D" w:rsidRPr="00A72E6D" w:rsidRDefault="00153BC5" w:rsidP="0029518B">
      <w:pPr>
        <w:spacing w:after="120"/>
        <w:jc w:val="both"/>
        <w:rPr>
          <w:rFonts w:eastAsia="MS Mincho"/>
          <w:lang w:eastAsia="ja-JP"/>
        </w:rPr>
      </w:pPr>
      <w:r>
        <w:rPr>
          <w:rFonts w:eastAsia="MS Mincho"/>
          <w:lang w:eastAsia="ja-JP"/>
        </w:rPr>
        <w:t xml:space="preserve">Again, the </w:t>
      </w:r>
      <w:r w:rsidRPr="00153BC5">
        <w:rPr>
          <w:rFonts w:eastAsia="MS Mincho"/>
          <w:i/>
          <w:lang w:eastAsia="ja-JP"/>
        </w:rPr>
        <w:t>TAoffset2</w:t>
      </w:r>
      <w:r>
        <w:rPr>
          <w:rFonts w:eastAsia="MS Mincho"/>
          <w:lang w:eastAsia="ja-JP"/>
        </w:rPr>
        <w:t xml:space="preserve"> indicated by the IAB node#1 shall be the targeted UL RX timing at IAB node#1.</w:t>
      </w:r>
    </w:p>
    <w:p w14:paraId="16D69931" w14:textId="29537DD3" w:rsidR="00D65358" w:rsidRDefault="00D65358" w:rsidP="0029518B">
      <w:pPr>
        <w:spacing w:after="120"/>
        <w:jc w:val="both"/>
        <w:rPr>
          <w:rFonts w:eastAsia="MS Mincho"/>
          <w:lang w:eastAsia="ja-JP"/>
        </w:rPr>
      </w:pPr>
    </w:p>
    <w:p w14:paraId="683346E4" w14:textId="264D9198" w:rsidR="003D300B" w:rsidRDefault="0016735F" w:rsidP="003D300B">
      <w:pPr>
        <w:rPr>
          <w:lang w:val="en-US"/>
        </w:rPr>
      </w:pPr>
      <w:r>
        <w:rPr>
          <w:lang w:val="en-US"/>
        </w:rPr>
        <w:t xml:space="preserve">In </w:t>
      </w:r>
      <w:r w:rsidR="003D300B">
        <w:rPr>
          <w:lang w:val="en-US"/>
        </w:rPr>
        <w:t xml:space="preserve">Case </w:t>
      </w:r>
      <w:r>
        <w:rPr>
          <w:lang w:val="en-US"/>
        </w:rPr>
        <w:t>#</w:t>
      </w:r>
      <w:r w:rsidR="003D300B">
        <w:rPr>
          <w:lang w:val="en-US"/>
        </w:rPr>
        <w:t xml:space="preserve">7 TA on the </w:t>
      </w:r>
      <w:r>
        <w:rPr>
          <w:lang w:val="en-US"/>
        </w:rPr>
        <w:t xml:space="preserve">BH#2 (as well as subsequent hops in the BH chain) </w:t>
      </w:r>
      <w:r w:rsidR="003D300B">
        <w:rPr>
          <w:lang w:val="en-US"/>
        </w:rPr>
        <w:t>can have negative values</w:t>
      </w:r>
      <w:r>
        <w:rPr>
          <w:lang w:val="en-US"/>
        </w:rPr>
        <w:t xml:space="preserve"> when the propagation delay on the BH#2 is less than on the BH#1 link. It has been proposed that the TA could be adjusted to larger values in </w:t>
      </w:r>
      <w:proofErr w:type="gramStart"/>
      <w:r>
        <w:rPr>
          <w:lang w:val="en-US"/>
        </w:rPr>
        <w:t>a steps of the symbol duration</w:t>
      </w:r>
      <w:proofErr w:type="gramEnd"/>
      <w:r>
        <w:rPr>
          <w:lang w:val="en-US"/>
        </w:rPr>
        <w:t xml:space="preserve"> in order to achieve symbol level synchronization at the reception of the parent node</w:t>
      </w:r>
      <w:r w:rsidR="00DD31DA">
        <w:rPr>
          <w:lang w:val="en-US"/>
        </w:rPr>
        <w:t>, and to avoid nega</w:t>
      </w:r>
      <w:r w:rsidR="00A20D07">
        <w:rPr>
          <w:lang w:val="en-US"/>
        </w:rPr>
        <w:t>tive TA values</w:t>
      </w:r>
      <w:r>
        <w:rPr>
          <w:lang w:val="en-US"/>
        </w:rPr>
        <w:t>. Th</w:t>
      </w:r>
      <w:r w:rsidR="00A20D07">
        <w:rPr>
          <w:lang w:val="en-US"/>
        </w:rPr>
        <w:t>ere</w:t>
      </w:r>
      <w:r>
        <w:rPr>
          <w:lang w:val="en-US"/>
        </w:rPr>
        <w:t xml:space="preserve"> are, however, at least two issues:</w:t>
      </w:r>
    </w:p>
    <w:p w14:paraId="01459D34" w14:textId="0FB45A3E" w:rsidR="0016735F" w:rsidRPr="005A776F" w:rsidRDefault="0016735F" w:rsidP="00707399">
      <w:pPr>
        <w:pStyle w:val="ListParagraph"/>
        <w:numPr>
          <w:ilvl w:val="0"/>
          <w:numId w:val="4"/>
        </w:numPr>
        <w:rPr>
          <w:sz w:val="20"/>
          <w:szCs w:val="20"/>
          <w:lang w:val="en-US" w:eastAsia="en-US"/>
        </w:rPr>
      </w:pPr>
      <w:r w:rsidRPr="005A776F">
        <w:rPr>
          <w:sz w:val="20"/>
          <w:szCs w:val="20"/>
          <w:lang w:val="en-US" w:eastAsia="en-US"/>
        </w:rPr>
        <w:t>Negative values are not supported in the initial timing alignment during the access procedure</w:t>
      </w:r>
    </w:p>
    <w:p w14:paraId="415EF37C" w14:textId="34D7D68C" w:rsidR="0016735F" w:rsidRPr="005A776F" w:rsidRDefault="0016735F" w:rsidP="00707399">
      <w:pPr>
        <w:pStyle w:val="ListParagraph"/>
        <w:numPr>
          <w:ilvl w:val="0"/>
          <w:numId w:val="4"/>
        </w:numPr>
        <w:spacing w:after="240"/>
        <w:rPr>
          <w:sz w:val="20"/>
          <w:szCs w:val="20"/>
          <w:lang w:val="en-US" w:eastAsia="en-US"/>
        </w:rPr>
      </w:pPr>
      <w:r w:rsidRPr="005A776F">
        <w:rPr>
          <w:sz w:val="20"/>
          <w:szCs w:val="20"/>
          <w:lang w:val="en-US" w:eastAsia="en-US"/>
        </w:rPr>
        <w:t xml:space="preserve">If the intention is to enable simultaneous reception on the parent DL and child/access UL, the combined reception time </w:t>
      </w:r>
      <w:r w:rsidR="00A20D07">
        <w:rPr>
          <w:sz w:val="20"/>
          <w:szCs w:val="20"/>
          <w:lang w:val="en-US" w:eastAsia="en-US"/>
        </w:rPr>
        <w:t xml:space="preserve">at the IAB node </w:t>
      </w:r>
      <w:r w:rsidR="005A776F" w:rsidRPr="005A776F">
        <w:rPr>
          <w:sz w:val="20"/>
          <w:szCs w:val="20"/>
          <w:lang w:val="en-US" w:eastAsia="en-US"/>
        </w:rPr>
        <w:t>will be extended by advancing the UL RX timing while the parent DL timing is determined by the propagation delay on the parent BH link</w:t>
      </w:r>
    </w:p>
    <w:p w14:paraId="3150D9E5" w14:textId="08D74332" w:rsidR="005A776F" w:rsidRDefault="00A21679" w:rsidP="005A776F">
      <w:pPr>
        <w:rPr>
          <w:lang w:val="en-US"/>
        </w:rPr>
      </w:pPr>
      <w:r>
        <w:rPr>
          <w:lang w:val="en-US"/>
        </w:rPr>
        <w:t>Due to a</w:t>
      </w:r>
      <w:r w:rsidR="005A776F">
        <w:rPr>
          <w:lang w:val="en-US"/>
        </w:rPr>
        <w:t xml:space="preserve">) the target timing may be achieved with certain delay with step-wise closing to the intended timing with TA commands. This will be the case with all connections (of UEs and child IAB nodes) established in the cell served by the IAB node. This will result in non-perfect alignment of signals </w:t>
      </w:r>
      <w:r w:rsidR="00C04BD4">
        <w:rPr>
          <w:lang w:val="en-US"/>
        </w:rPr>
        <w:t>increasing interference and thus degrad</w:t>
      </w:r>
      <w:r w:rsidR="00A20D07">
        <w:rPr>
          <w:lang w:val="en-US"/>
        </w:rPr>
        <w:t>ing</w:t>
      </w:r>
      <w:r w:rsidR="00C04BD4">
        <w:rPr>
          <w:lang w:val="en-US"/>
        </w:rPr>
        <w:t xml:space="preserve"> the performance when </w:t>
      </w:r>
      <w:r w:rsidR="005A776F">
        <w:rPr>
          <w:lang w:val="en-US"/>
        </w:rPr>
        <w:t>using SDM/FDM at the IAB node.</w:t>
      </w:r>
    </w:p>
    <w:p w14:paraId="7842FDE3" w14:textId="453999E0" w:rsidR="005A776F" w:rsidRPr="00C04BD4" w:rsidRDefault="005A776F" w:rsidP="005A776F">
      <w:pPr>
        <w:rPr>
          <w:b/>
          <w:lang w:val="en-US"/>
        </w:rPr>
      </w:pPr>
      <w:r w:rsidRPr="00C04BD4">
        <w:rPr>
          <w:b/>
          <w:lang w:val="en-US"/>
        </w:rPr>
        <w:t>Observation</w:t>
      </w:r>
      <w:r w:rsidR="00667C28">
        <w:rPr>
          <w:b/>
          <w:lang w:val="en-US"/>
        </w:rPr>
        <w:t xml:space="preserve"> 2</w:t>
      </w:r>
      <w:r w:rsidRPr="00C04BD4">
        <w:rPr>
          <w:b/>
          <w:lang w:val="en-US"/>
        </w:rPr>
        <w:t xml:space="preserve">: Missing support of negative initial time alignment </w:t>
      </w:r>
      <w:r w:rsidR="00C04BD4" w:rsidRPr="00C04BD4">
        <w:rPr>
          <w:b/>
          <w:lang w:val="en-US"/>
        </w:rPr>
        <w:t>can increase interference when using SDM/FDM at the IAB node</w:t>
      </w:r>
      <w:r w:rsidR="00C04BD4">
        <w:rPr>
          <w:b/>
          <w:lang w:val="en-US"/>
        </w:rPr>
        <w:t xml:space="preserve"> applying Case #7 timing</w:t>
      </w:r>
      <w:r w:rsidR="00C04BD4" w:rsidRPr="00C04BD4">
        <w:rPr>
          <w:b/>
          <w:lang w:val="en-US"/>
        </w:rPr>
        <w:t>.</w:t>
      </w:r>
    </w:p>
    <w:p w14:paraId="12493CD1" w14:textId="58DC56ED" w:rsidR="00C04BD4" w:rsidRPr="00C04BD4" w:rsidRDefault="00C04BD4" w:rsidP="003D300B">
      <w:pPr>
        <w:spacing w:after="120"/>
        <w:jc w:val="both"/>
        <w:rPr>
          <w:rFonts w:eastAsia="MS Mincho"/>
          <w:lang w:eastAsia="ja-JP"/>
        </w:rPr>
      </w:pPr>
      <w:r>
        <w:rPr>
          <w:rFonts w:eastAsia="MS Mincho"/>
          <w:lang w:eastAsia="ja-JP"/>
        </w:rPr>
        <w:lastRenderedPageBreak/>
        <w:t>The issue b) would require either elimination of symbol(s) in the beginning of the child/access UL slot, or eliminating symbol(s) at the end of the parent BH DL slot. The former case would essentially require usage of mini-slots. The latter one, where scheduling is done by the parent node, would need an indication to the parent node about the need to mute symbol(s) at the</w:t>
      </w:r>
      <w:r w:rsidR="00A21679">
        <w:rPr>
          <w:rFonts w:eastAsia="MS Mincho"/>
          <w:lang w:eastAsia="ja-JP"/>
        </w:rPr>
        <w:t xml:space="preserve"> end of the DL slot when scheduling data on that slot. This would require additional signalling between the IAB nodes which may not be desirable.</w:t>
      </w:r>
    </w:p>
    <w:p w14:paraId="12337AD7" w14:textId="021A9942" w:rsidR="003D300B" w:rsidRPr="00190FFA" w:rsidRDefault="00C04BD4" w:rsidP="003D300B">
      <w:pPr>
        <w:spacing w:after="120"/>
        <w:jc w:val="both"/>
        <w:rPr>
          <w:rFonts w:eastAsia="MS Mincho"/>
          <w:b/>
          <w:lang w:eastAsia="ja-JP"/>
        </w:rPr>
      </w:pPr>
      <w:r>
        <w:rPr>
          <w:rFonts w:eastAsia="MS Mincho"/>
          <w:b/>
          <w:lang w:eastAsia="ja-JP"/>
        </w:rPr>
        <w:t>Observation</w:t>
      </w:r>
      <w:r w:rsidR="00667C28">
        <w:rPr>
          <w:rFonts w:eastAsia="MS Mincho"/>
          <w:b/>
          <w:lang w:eastAsia="ja-JP"/>
        </w:rPr>
        <w:t xml:space="preserve"> 3</w:t>
      </w:r>
      <w:r w:rsidR="003D300B" w:rsidRPr="00190FFA">
        <w:rPr>
          <w:rFonts w:eastAsia="MS Mincho"/>
          <w:b/>
          <w:lang w:eastAsia="ja-JP"/>
        </w:rPr>
        <w:t xml:space="preserve">: </w:t>
      </w:r>
      <w:r w:rsidR="00A21679">
        <w:rPr>
          <w:rFonts w:eastAsia="MS Mincho"/>
          <w:b/>
          <w:lang w:eastAsia="ja-JP"/>
        </w:rPr>
        <w:t>Symbol level alignment by increasing TA in steps of the symbol duration would lead to usage of mini-slots on the child/access link</w:t>
      </w:r>
      <w:r w:rsidR="003D300B">
        <w:rPr>
          <w:rFonts w:eastAsia="MS Mincho"/>
          <w:b/>
          <w:lang w:eastAsia="ja-JP"/>
        </w:rPr>
        <w:t>.</w:t>
      </w:r>
      <w:r w:rsidR="00A21679">
        <w:rPr>
          <w:rFonts w:eastAsia="MS Mincho"/>
          <w:b/>
          <w:lang w:eastAsia="ja-JP"/>
        </w:rPr>
        <w:t xml:space="preserve"> Otherwise, additional signalling would be needed between the parent/child IAB nodes to indicate the need for muting of symbol(s) at the end of the DL slot.</w:t>
      </w:r>
    </w:p>
    <w:p w14:paraId="030EC1F3" w14:textId="71AFC913" w:rsidR="003D300B" w:rsidRDefault="002F6CED" w:rsidP="0029518B">
      <w:pPr>
        <w:spacing w:after="120"/>
        <w:jc w:val="both"/>
        <w:rPr>
          <w:rFonts w:eastAsia="MS Mincho"/>
          <w:lang w:val="en-US" w:eastAsia="ja-JP"/>
        </w:rPr>
      </w:pPr>
      <w:r>
        <w:rPr>
          <w:rFonts w:eastAsia="MS Mincho"/>
          <w:lang w:val="en-US" w:eastAsia="ja-JP"/>
        </w:rPr>
        <w:t xml:space="preserve">The support for mini-slots is basically mandatory but defined as a UE capability. Hence the </w:t>
      </w:r>
      <w:r w:rsidR="00610F80">
        <w:rPr>
          <w:rFonts w:eastAsia="MS Mincho"/>
          <w:lang w:val="en-US" w:eastAsia="ja-JP"/>
        </w:rPr>
        <w:t>support in cannot be guaranteed in the early phases of NR deployment.</w:t>
      </w:r>
    </w:p>
    <w:p w14:paraId="7FC1C141" w14:textId="16A56FFC" w:rsidR="00610F80" w:rsidRDefault="00610F80" w:rsidP="0029518B">
      <w:pPr>
        <w:spacing w:after="120"/>
        <w:jc w:val="both"/>
        <w:rPr>
          <w:rFonts w:eastAsia="MS Mincho"/>
          <w:b/>
          <w:lang w:val="en-US" w:eastAsia="ja-JP"/>
        </w:rPr>
      </w:pPr>
      <w:r w:rsidRPr="003E1E73">
        <w:rPr>
          <w:rFonts w:eastAsia="MS Mincho"/>
          <w:b/>
          <w:lang w:val="en-US" w:eastAsia="ja-JP"/>
        </w:rPr>
        <w:t xml:space="preserve">Observation 4: Mini slot support may not be available in the early phases of NR deployment to </w:t>
      </w:r>
      <w:r>
        <w:rPr>
          <w:rFonts w:eastAsia="MS Mincho"/>
          <w:b/>
          <w:lang w:val="en-US" w:eastAsia="ja-JP"/>
        </w:rPr>
        <w:t xml:space="preserve">be used to </w:t>
      </w:r>
      <w:r w:rsidRPr="003E1E73">
        <w:rPr>
          <w:rFonts w:eastAsia="MS Mincho"/>
          <w:b/>
          <w:lang w:val="en-US" w:eastAsia="ja-JP"/>
        </w:rPr>
        <w:t>avoid the issue with negative TA.</w:t>
      </w:r>
    </w:p>
    <w:p w14:paraId="52097DD6" w14:textId="68BAFDEE" w:rsidR="00610F80" w:rsidRDefault="00610F80" w:rsidP="0029518B">
      <w:pPr>
        <w:spacing w:after="120"/>
        <w:jc w:val="both"/>
        <w:rPr>
          <w:rFonts w:eastAsia="MS Mincho"/>
          <w:lang w:val="en-US" w:eastAsia="ja-JP"/>
        </w:rPr>
      </w:pPr>
      <w:r>
        <w:rPr>
          <w:rFonts w:eastAsia="MS Mincho"/>
          <w:lang w:val="en-US" w:eastAsia="ja-JP"/>
        </w:rPr>
        <w:t>Even though mini-slots being available, the solution would reduce the spectrum efficiency by allowing the usage of radio resource only partly. This will be the case also if symbols are muted at the end of the slot on the parent BH DL. Therefore, it seems that Case #7 will be applicable only in some specific scenarios where the negative TA is not needed. Otherwise there will be negative</w:t>
      </w:r>
      <w:r w:rsidR="004049F1">
        <w:rPr>
          <w:rFonts w:eastAsia="MS Mincho"/>
          <w:lang w:val="en-US" w:eastAsia="ja-JP"/>
        </w:rPr>
        <w:t xml:space="preserve"> impact on the system</w:t>
      </w:r>
      <w:r w:rsidR="009E7B9B">
        <w:rPr>
          <w:rFonts w:eastAsia="MS Mincho"/>
          <w:lang w:val="en-US" w:eastAsia="ja-JP"/>
        </w:rPr>
        <w:t xml:space="preserve"> performance</w:t>
      </w:r>
      <w:r w:rsidR="004049F1">
        <w:rPr>
          <w:rFonts w:eastAsia="MS Mincho"/>
          <w:lang w:val="en-US" w:eastAsia="ja-JP"/>
        </w:rPr>
        <w:t>.</w:t>
      </w:r>
    </w:p>
    <w:p w14:paraId="01A285DC" w14:textId="5D2279E1" w:rsidR="004049F1" w:rsidRPr="003E1E73" w:rsidRDefault="004049F1" w:rsidP="0029518B">
      <w:pPr>
        <w:spacing w:after="120"/>
        <w:jc w:val="both"/>
        <w:rPr>
          <w:rFonts w:eastAsia="MS Mincho"/>
          <w:b/>
          <w:lang w:val="en-US" w:eastAsia="ja-JP"/>
        </w:rPr>
      </w:pPr>
      <w:r w:rsidRPr="003E1E73">
        <w:rPr>
          <w:rFonts w:eastAsia="MS Mincho"/>
          <w:b/>
          <w:lang w:val="en-US" w:eastAsia="ja-JP"/>
        </w:rPr>
        <w:t>Observation 5: Case #7 timing is practically applicable only in limited IAB deployment scenarios.</w:t>
      </w:r>
    </w:p>
    <w:p w14:paraId="61C056B8" w14:textId="4C752A2B" w:rsidR="004049F1" w:rsidRDefault="004049F1" w:rsidP="0029518B">
      <w:pPr>
        <w:spacing w:after="120"/>
        <w:jc w:val="both"/>
        <w:rPr>
          <w:rFonts w:eastAsia="MS Mincho"/>
          <w:lang w:val="en-US" w:eastAsia="ja-JP"/>
        </w:rPr>
      </w:pPr>
      <w:r>
        <w:rPr>
          <w:rFonts w:eastAsia="MS Mincho"/>
          <w:lang w:val="en-US" w:eastAsia="ja-JP"/>
        </w:rPr>
        <w:t>Based on the analysis abo</w:t>
      </w:r>
      <w:r w:rsidR="00AD1CEB">
        <w:rPr>
          <w:rFonts w:eastAsia="MS Mincho"/>
          <w:lang w:val="en-US" w:eastAsia="ja-JP"/>
        </w:rPr>
        <w:t xml:space="preserve">ve, we do not see Case #7 as an attractive option due to potential negative impacts on spectrum efficiency, applicability in limited deployment scenarios, and/or required specification efforts for signaling vs. the usage potential. </w:t>
      </w:r>
    </w:p>
    <w:p w14:paraId="0EAA9EDB" w14:textId="0561FCA1" w:rsidR="004049F1" w:rsidRPr="003E1E73" w:rsidRDefault="004049F1" w:rsidP="0029518B">
      <w:pPr>
        <w:spacing w:after="120"/>
        <w:jc w:val="both"/>
        <w:rPr>
          <w:rFonts w:eastAsia="MS Mincho"/>
          <w:b/>
          <w:lang w:val="en-US" w:eastAsia="ja-JP"/>
        </w:rPr>
      </w:pPr>
      <w:r w:rsidRPr="003E1E73">
        <w:rPr>
          <w:rFonts w:eastAsia="MS Mincho"/>
          <w:b/>
          <w:lang w:val="en-US" w:eastAsia="ja-JP"/>
        </w:rPr>
        <w:t xml:space="preserve">Proposal 1: </w:t>
      </w:r>
      <w:r w:rsidR="00AD1CEB" w:rsidRPr="003E1E73">
        <w:rPr>
          <w:rFonts w:eastAsia="MS Mincho"/>
          <w:b/>
          <w:lang w:val="en-US" w:eastAsia="ja-JP"/>
        </w:rPr>
        <w:t xml:space="preserve">Even though Case #7 could be used with legacy UEs, </w:t>
      </w:r>
      <w:r w:rsidR="00E6507D">
        <w:rPr>
          <w:rFonts w:eastAsia="MS Mincho"/>
          <w:b/>
          <w:lang w:val="en-US" w:eastAsia="ja-JP"/>
        </w:rPr>
        <w:t xml:space="preserve">as a non-optimum solution RAN1 is asked to consider dropping the timing </w:t>
      </w:r>
      <w:r w:rsidR="00AD1CEB" w:rsidRPr="003E1E73">
        <w:rPr>
          <w:rFonts w:eastAsia="MS Mincho"/>
          <w:b/>
          <w:lang w:val="en-US" w:eastAsia="ja-JP"/>
        </w:rPr>
        <w:t>option due to its limited usability and/or negative impacts on radio performance.</w:t>
      </w:r>
    </w:p>
    <w:p w14:paraId="4E91A521" w14:textId="77777777" w:rsidR="004049F1" w:rsidRPr="00610F80" w:rsidRDefault="004049F1" w:rsidP="0029518B">
      <w:pPr>
        <w:spacing w:after="120"/>
        <w:jc w:val="both"/>
        <w:rPr>
          <w:rFonts w:eastAsia="MS Mincho"/>
          <w:lang w:val="en-US" w:eastAsia="ja-JP"/>
        </w:rPr>
      </w:pPr>
    </w:p>
    <w:p w14:paraId="05FC2958" w14:textId="77777777" w:rsidR="001D321F" w:rsidRDefault="001D321F" w:rsidP="00D17D32">
      <w:pPr>
        <w:rPr>
          <w:lang w:val="en-US"/>
        </w:rPr>
      </w:pPr>
    </w:p>
    <w:p w14:paraId="3C94B7E4" w14:textId="2D90CB0F" w:rsidR="0045097F" w:rsidRDefault="006A7EE9" w:rsidP="0045097F">
      <w:pPr>
        <w:pStyle w:val="Heading2"/>
        <w:rPr>
          <w:lang w:val="en-US"/>
        </w:rPr>
      </w:pPr>
      <w:r>
        <w:rPr>
          <w:lang w:val="en-US"/>
        </w:rPr>
        <w:t>2.2</w:t>
      </w:r>
      <w:r w:rsidR="005A1730">
        <w:rPr>
          <w:lang w:val="en-US"/>
        </w:rPr>
        <w:tab/>
      </w:r>
      <w:r w:rsidR="003D300B">
        <w:rPr>
          <w:lang w:val="en-US"/>
        </w:rPr>
        <w:t>Case #6</w:t>
      </w:r>
    </w:p>
    <w:p w14:paraId="26528444" w14:textId="13882632" w:rsidR="005B45B6" w:rsidRDefault="003E439B" w:rsidP="0055797D">
      <w:pPr>
        <w:spacing w:after="360"/>
        <w:jc w:val="both"/>
        <w:rPr>
          <w:rFonts w:eastAsia="MS Mincho"/>
          <w:lang w:val="en-US" w:eastAsia="ja-JP"/>
        </w:rPr>
      </w:pPr>
      <w:r>
        <w:rPr>
          <w:rFonts w:eastAsia="MS Mincho"/>
          <w:lang w:val="en-US" w:eastAsia="ja-JP"/>
        </w:rPr>
        <w:t>In Case #6, where the DL TX timing is synchronized in all nodes, and where BH UL TX is aligned with the DL TX timing, the timing of the RX signal depends only the propagation delay of the link</w:t>
      </w:r>
      <w:r w:rsidR="005B45B6">
        <w:rPr>
          <w:rFonts w:eastAsia="MS Mincho"/>
          <w:lang w:val="en-US" w:eastAsia="ja-JP"/>
        </w:rPr>
        <w:t>, see</w:t>
      </w:r>
      <w:r w:rsidR="0055797D">
        <w:rPr>
          <w:rFonts w:eastAsia="MS Mincho"/>
          <w:lang w:val="en-US" w:eastAsia="ja-JP"/>
        </w:rPr>
        <w:t xml:space="preserve"> </w:t>
      </w:r>
      <w:r w:rsidR="0055797D">
        <w:rPr>
          <w:rFonts w:eastAsia="MS Mincho"/>
          <w:lang w:val="en-US" w:eastAsia="ja-JP"/>
        </w:rPr>
        <w:fldChar w:fldCharType="begin"/>
      </w:r>
      <w:r w:rsidR="0055797D">
        <w:rPr>
          <w:rFonts w:eastAsia="MS Mincho"/>
          <w:lang w:val="en-US" w:eastAsia="ja-JP"/>
        </w:rPr>
        <w:instrText xml:space="preserve"> REF _Ref528152068 \h </w:instrText>
      </w:r>
      <w:r w:rsidR="0055797D">
        <w:rPr>
          <w:rFonts w:eastAsia="MS Mincho"/>
          <w:lang w:val="en-US" w:eastAsia="ja-JP"/>
        </w:rPr>
      </w:r>
      <w:r w:rsidR="0055797D">
        <w:rPr>
          <w:rFonts w:eastAsia="MS Mincho"/>
          <w:lang w:val="en-US" w:eastAsia="ja-JP"/>
        </w:rPr>
        <w:fldChar w:fldCharType="separate"/>
      </w:r>
      <w:r w:rsidR="0055797D">
        <w:t xml:space="preserve">Figure </w:t>
      </w:r>
      <w:r w:rsidR="0055797D">
        <w:rPr>
          <w:noProof/>
        </w:rPr>
        <w:t>2</w:t>
      </w:r>
      <w:r w:rsidR="0055797D">
        <w:rPr>
          <w:rFonts w:eastAsia="MS Mincho"/>
          <w:lang w:val="en-US" w:eastAsia="ja-JP"/>
        </w:rPr>
        <w:fldChar w:fldCharType="end"/>
      </w:r>
      <w:r w:rsidR="005B45B6">
        <w:rPr>
          <w:rFonts w:eastAsia="MS Mincho"/>
          <w:lang w:val="en-US" w:eastAsia="ja-JP"/>
        </w:rPr>
        <w:t>.</w:t>
      </w:r>
    </w:p>
    <w:p w14:paraId="588DF675" w14:textId="789E3D85" w:rsidR="005B45B6" w:rsidRDefault="0055797D" w:rsidP="0055797D">
      <w:pPr>
        <w:spacing w:after="20"/>
        <w:jc w:val="both"/>
        <w:rPr>
          <w:rFonts w:eastAsia="MS Mincho"/>
          <w:lang w:val="en-US" w:eastAsia="ja-JP"/>
        </w:rPr>
      </w:pPr>
      <w:r w:rsidRPr="0055797D">
        <w:rPr>
          <w:noProof/>
        </w:rPr>
        <w:drawing>
          <wp:inline distT="0" distB="0" distL="0" distR="0" wp14:anchorId="6A63C5E2" wp14:editId="52B6E452">
            <wp:extent cx="6120765" cy="205047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050473"/>
                    </a:xfrm>
                    <a:prstGeom prst="rect">
                      <a:avLst/>
                    </a:prstGeom>
                    <a:noFill/>
                    <a:ln>
                      <a:noFill/>
                    </a:ln>
                  </pic:spPr>
                </pic:pic>
              </a:graphicData>
            </a:graphic>
          </wp:inline>
        </w:drawing>
      </w:r>
    </w:p>
    <w:p w14:paraId="4A0B23D5" w14:textId="5E385FAA" w:rsidR="005B45B6" w:rsidRDefault="005B45B6" w:rsidP="0055797D">
      <w:pPr>
        <w:pStyle w:val="Caption"/>
        <w:spacing w:before="0" w:after="240"/>
        <w:jc w:val="center"/>
      </w:pPr>
      <w:bookmarkStart w:id="4" w:name="_Ref528152068"/>
      <w:r>
        <w:t xml:space="preserve">Figure </w:t>
      </w:r>
      <w:r>
        <w:fldChar w:fldCharType="begin"/>
      </w:r>
      <w:r>
        <w:instrText xml:space="preserve"> SEQ Figure \* ARABIC </w:instrText>
      </w:r>
      <w:r>
        <w:fldChar w:fldCharType="separate"/>
      </w:r>
      <w:r>
        <w:rPr>
          <w:noProof/>
        </w:rPr>
        <w:t>2</w:t>
      </w:r>
      <w:r>
        <w:fldChar w:fldCharType="end"/>
      </w:r>
      <w:bookmarkEnd w:id="4"/>
      <w:r>
        <w:t xml:space="preserve"> A multi-hop scenario with Case #6 timing</w:t>
      </w:r>
    </w:p>
    <w:p w14:paraId="49561DE2" w14:textId="46A8E60A" w:rsidR="000C5B1F" w:rsidRDefault="003E439B" w:rsidP="003D300B">
      <w:pPr>
        <w:spacing w:after="120"/>
        <w:jc w:val="both"/>
        <w:rPr>
          <w:rFonts w:eastAsia="MS Mincho"/>
          <w:lang w:val="en-US" w:eastAsia="ja-JP"/>
        </w:rPr>
      </w:pPr>
      <w:r>
        <w:rPr>
          <w:rFonts w:eastAsia="MS Mincho"/>
          <w:lang w:val="en-US" w:eastAsia="ja-JP"/>
        </w:rPr>
        <w:t xml:space="preserve">Therefore, there will be no means to adjust and align the </w:t>
      </w:r>
      <w:r w:rsidR="00E21DE4">
        <w:rPr>
          <w:rFonts w:eastAsia="MS Mincho"/>
          <w:lang w:val="en-US" w:eastAsia="ja-JP"/>
        </w:rPr>
        <w:t xml:space="preserve">timing of different </w:t>
      </w:r>
      <w:r>
        <w:rPr>
          <w:rFonts w:eastAsia="MS Mincho"/>
          <w:lang w:val="en-US" w:eastAsia="ja-JP"/>
        </w:rPr>
        <w:t>RX signal</w:t>
      </w:r>
      <w:r w:rsidR="00E21DE4">
        <w:rPr>
          <w:rFonts w:eastAsia="MS Mincho"/>
          <w:lang w:val="en-US" w:eastAsia="ja-JP"/>
        </w:rPr>
        <w:t>s</w:t>
      </w:r>
      <w:r>
        <w:rPr>
          <w:rFonts w:eastAsia="MS Mincho"/>
          <w:lang w:val="en-US" w:eastAsia="ja-JP"/>
        </w:rPr>
        <w:t>. Options to cope with this can be:</w:t>
      </w:r>
    </w:p>
    <w:p w14:paraId="243180F7" w14:textId="6CB3F0D8" w:rsidR="003E439B" w:rsidRPr="001801F6" w:rsidRDefault="003E439B" w:rsidP="00707399">
      <w:pPr>
        <w:pStyle w:val="ListParagraph"/>
        <w:numPr>
          <w:ilvl w:val="0"/>
          <w:numId w:val="5"/>
        </w:numPr>
        <w:spacing w:after="120"/>
        <w:jc w:val="both"/>
        <w:rPr>
          <w:rFonts w:eastAsia="MS Mincho"/>
          <w:sz w:val="20"/>
          <w:szCs w:val="20"/>
          <w:lang w:val="en-US" w:eastAsia="ja-JP"/>
        </w:rPr>
      </w:pPr>
      <w:r w:rsidRPr="001801F6">
        <w:rPr>
          <w:rFonts w:eastAsia="MS Mincho"/>
          <w:sz w:val="20"/>
          <w:szCs w:val="20"/>
          <w:lang w:val="en-US" w:eastAsia="ja-JP"/>
        </w:rPr>
        <w:t>SDM: using multiple panels to separate the RX signals</w:t>
      </w:r>
    </w:p>
    <w:p w14:paraId="4E2B7B44" w14:textId="2916FFB3" w:rsidR="003E439B" w:rsidRPr="001801F6" w:rsidRDefault="003E439B" w:rsidP="00707399">
      <w:pPr>
        <w:pStyle w:val="ListParagraph"/>
        <w:numPr>
          <w:ilvl w:val="0"/>
          <w:numId w:val="5"/>
        </w:numPr>
        <w:spacing w:after="120"/>
        <w:jc w:val="both"/>
        <w:rPr>
          <w:rFonts w:eastAsia="MS Mincho"/>
          <w:sz w:val="20"/>
          <w:szCs w:val="20"/>
          <w:lang w:val="en-US" w:eastAsia="ja-JP"/>
        </w:rPr>
      </w:pPr>
      <w:r w:rsidRPr="001801F6">
        <w:rPr>
          <w:rFonts w:eastAsia="MS Mincho"/>
          <w:sz w:val="20"/>
          <w:szCs w:val="20"/>
          <w:lang w:val="en-US" w:eastAsia="ja-JP"/>
        </w:rPr>
        <w:t>FDM: Separate the RX signals (up to scheduling) in frequency domain using appropriate guard bands</w:t>
      </w:r>
    </w:p>
    <w:p w14:paraId="2B5B47CA" w14:textId="55039C61" w:rsidR="006C105D" w:rsidRDefault="003E439B" w:rsidP="003D300B">
      <w:pPr>
        <w:spacing w:after="120"/>
        <w:jc w:val="both"/>
        <w:rPr>
          <w:rFonts w:eastAsia="MS Mincho"/>
          <w:lang w:val="en-US" w:eastAsia="ja-JP"/>
        </w:rPr>
      </w:pPr>
      <w:r>
        <w:rPr>
          <w:rFonts w:eastAsia="MS Mincho"/>
          <w:lang w:val="en-US" w:eastAsia="ja-JP"/>
        </w:rPr>
        <w:t xml:space="preserve">These options can be considered as </w:t>
      </w:r>
      <w:r w:rsidR="001801F6">
        <w:rPr>
          <w:rFonts w:eastAsia="MS Mincho"/>
          <w:lang w:val="en-US" w:eastAsia="ja-JP"/>
        </w:rPr>
        <w:t xml:space="preserve">choices for </w:t>
      </w:r>
      <w:r>
        <w:rPr>
          <w:rFonts w:eastAsia="MS Mincho"/>
          <w:lang w:val="en-US" w:eastAsia="ja-JP"/>
        </w:rPr>
        <w:t xml:space="preserve">implementation and can be left for </w:t>
      </w:r>
      <w:r w:rsidR="001801F6">
        <w:rPr>
          <w:rFonts w:eastAsia="MS Mincho"/>
          <w:lang w:val="en-US" w:eastAsia="ja-JP"/>
        </w:rPr>
        <w:t>vendor or operator to decide.</w:t>
      </w:r>
    </w:p>
    <w:p w14:paraId="433420DE" w14:textId="54EBE8E2" w:rsidR="00901AD6" w:rsidRDefault="00541726" w:rsidP="006A7EE9">
      <w:pPr>
        <w:spacing w:after="120"/>
        <w:jc w:val="both"/>
        <w:rPr>
          <w:rFonts w:eastAsia="MS Mincho"/>
          <w:b/>
          <w:lang w:val="en-US" w:eastAsia="ja-JP"/>
        </w:rPr>
      </w:pPr>
      <w:r>
        <w:rPr>
          <w:rFonts w:eastAsia="MS Mincho"/>
          <w:b/>
          <w:lang w:val="en-US" w:eastAsia="ja-JP"/>
        </w:rPr>
        <w:t>O</w:t>
      </w:r>
      <w:r w:rsidR="001801F6">
        <w:rPr>
          <w:rFonts w:eastAsia="MS Mincho"/>
          <w:b/>
          <w:lang w:val="en-US" w:eastAsia="ja-JP"/>
        </w:rPr>
        <w:t>bservation</w:t>
      </w:r>
      <w:r w:rsidR="003E68CC">
        <w:rPr>
          <w:rFonts w:eastAsia="MS Mincho"/>
          <w:b/>
          <w:lang w:val="en-US" w:eastAsia="ja-JP"/>
        </w:rPr>
        <w:t xml:space="preserve"> </w:t>
      </w:r>
      <w:r w:rsidR="00AD1CEB">
        <w:rPr>
          <w:rFonts w:eastAsia="MS Mincho"/>
          <w:b/>
          <w:lang w:val="en-US" w:eastAsia="ja-JP"/>
        </w:rPr>
        <w:t>6</w:t>
      </w:r>
      <w:r>
        <w:rPr>
          <w:rFonts w:eastAsia="MS Mincho"/>
          <w:b/>
          <w:lang w:val="en-US" w:eastAsia="ja-JP"/>
        </w:rPr>
        <w:t xml:space="preserve">: </w:t>
      </w:r>
      <w:r w:rsidR="001801F6">
        <w:rPr>
          <w:rFonts w:eastAsia="MS Mincho"/>
          <w:b/>
          <w:lang w:val="en-US" w:eastAsia="ja-JP"/>
        </w:rPr>
        <w:t xml:space="preserve">In Case #6 the interference due to mis-alignment of the RX signals can be remedied by usage of multiple panels </w:t>
      </w:r>
      <w:r w:rsidR="00E6507D">
        <w:rPr>
          <w:rFonts w:eastAsia="MS Mincho"/>
          <w:b/>
          <w:lang w:val="en-US" w:eastAsia="ja-JP"/>
        </w:rPr>
        <w:t>and/</w:t>
      </w:r>
      <w:r w:rsidR="001801F6">
        <w:rPr>
          <w:rFonts w:eastAsia="MS Mincho"/>
          <w:b/>
          <w:lang w:val="en-US" w:eastAsia="ja-JP"/>
        </w:rPr>
        <w:t>or separation in frequency domain. These are choices for the IAB implementation.</w:t>
      </w:r>
    </w:p>
    <w:p w14:paraId="0D7AB424" w14:textId="7A10C982" w:rsidR="008F38FE" w:rsidRDefault="008F38FE" w:rsidP="006A7EE9">
      <w:pPr>
        <w:spacing w:after="120"/>
        <w:jc w:val="both"/>
        <w:rPr>
          <w:rFonts w:eastAsia="MS Mincho"/>
          <w:lang w:val="en-US" w:eastAsia="ja-JP"/>
        </w:rPr>
      </w:pPr>
      <w:r>
        <w:rPr>
          <w:rFonts w:eastAsia="MS Mincho"/>
          <w:lang w:val="en-US" w:eastAsia="ja-JP"/>
        </w:rPr>
        <w:t xml:space="preserve">Normal TA control procedure is not applicable in Case #6 in the sense that UL RX </w:t>
      </w:r>
      <w:r w:rsidR="006451D0">
        <w:rPr>
          <w:rFonts w:eastAsia="MS Mincho"/>
          <w:lang w:val="en-US" w:eastAsia="ja-JP"/>
        </w:rPr>
        <w:t xml:space="preserve">signal </w:t>
      </w:r>
      <w:r>
        <w:rPr>
          <w:rFonts w:eastAsia="MS Mincho"/>
          <w:lang w:val="en-US" w:eastAsia="ja-JP"/>
        </w:rPr>
        <w:t>would be adjusted</w:t>
      </w:r>
      <w:r w:rsidR="006451D0">
        <w:rPr>
          <w:rFonts w:eastAsia="MS Mincho"/>
          <w:lang w:val="en-US" w:eastAsia="ja-JP"/>
        </w:rPr>
        <w:t xml:space="preserve"> to a desired timing</w:t>
      </w:r>
      <w:r>
        <w:rPr>
          <w:rFonts w:eastAsia="MS Mincho"/>
          <w:lang w:val="en-US" w:eastAsia="ja-JP"/>
        </w:rPr>
        <w:t xml:space="preserve">. </w:t>
      </w:r>
      <w:r w:rsidR="00CA74C4">
        <w:rPr>
          <w:rFonts w:eastAsia="MS Mincho"/>
          <w:lang w:val="en-US" w:eastAsia="ja-JP"/>
        </w:rPr>
        <w:t xml:space="preserve">The </w:t>
      </w:r>
      <w:r>
        <w:rPr>
          <w:rFonts w:eastAsia="MS Mincho"/>
          <w:lang w:val="en-US" w:eastAsia="ja-JP"/>
        </w:rPr>
        <w:t xml:space="preserve">TA loop, however, </w:t>
      </w:r>
      <w:r w:rsidR="00CA74C4">
        <w:rPr>
          <w:rFonts w:eastAsia="MS Mincho"/>
          <w:lang w:val="en-US" w:eastAsia="ja-JP"/>
        </w:rPr>
        <w:t>sh</w:t>
      </w:r>
      <w:r>
        <w:rPr>
          <w:rFonts w:eastAsia="MS Mincho"/>
          <w:lang w:val="en-US" w:eastAsia="ja-JP"/>
        </w:rPr>
        <w:t>ould be used to maintain and fine tune child</w:t>
      </w:r>
      <w:r w:rsidR="006451D0">
        <w:rPr>
          <w:rFonts w:eastAsia="MS Mincho"/>
          <w:lang w:val="en-US" w:eastAsia="ja-JP"/>
        </w:rPr>
        <w:t xml:space="preserve"> IAB</w:t>
      </w:r>
      <w:r>
        <w:rPr>
          <w:rFonts w:eastAsia="MS Mincho"/>
          <w:lang w:val="en-US" w:eastAsia="ja-JP"/>
        </w:rPr>
        <w:t xml:space="preserve"> node TX synchronization</w:t>
      </w:r>
      <w:r w:rsidR="006451D0">
        <w:rPr>
          <w:rFonts w:eastAsia="MS Mincho"/>
          <w:lang w:val="en-US" w:eastAsia="ja-JP"/>
        </w:rPr>
        <w:t xml:space="preserve"> (both DL </w:t>
      </w:r>
      <w:r w:rsidR="006451D0">
        <w:rPr>
          <w:rFonts w:eastAsia="MS Mincho"/>
          <w:lang w:val="en-US" w:eastAsia="ja-JP"/>
        </w:rPr>
        <w:lastRenderedPageBreak/>
        <w:t>and UL as they are aligned)</w:t>
      </w:r>
      <w:r>
        <w:rPr>
          <w:rFonts w:eastAsia="MS Mincho"/>
          <w:lang w:val="en-US" w:eastAsia="ja-JP"/>
        </w:rPr>
        <w:t xml:space="preserve">. A child IAB node shall adjust the TX timing to compensate the delay on the BH link. The child node can measure the time difference between its own DL TX timing and the BH DL RX timing. The DL TX timing may not be accurate and may deviate from the DL TX timing of the parent (or donor) node. To correct the mis-alignment, the parent (or donor) node can measure the time difference of the DL TX and UL RX signal. </w:t>
      </w:r>
      <w:r w:rsidR="005B45B6">
        <w:rPr>
          <w:rFonts w:eastAsia="MS Mincho"/>
          <w:lang w:val="en-US" w:eastAsia="ja-JP"/>
        </w:rPr>
        <w:t>The difference could be indicated with the modified “TA” signaling. The child IAB compares corresponding difference of its own</w:t>
      </w:r>
      <w:r w:rsidR="00CA74C4">
        <w:rPr>
          <w:rFonts w:eastAsia="MS Mincho"/>
          <w:lang w:val="en-US" w:eastAsia="ja-JP"/>
        </w:rPr>
        <w:t xml:space="preserve"> estimate</w:t>
      </w:r>
      <w:r w:rsidR="005B45B6">
        <w:rPr>
          <w:rFonts w:eastAsia="MS Mincho"/>
          <w:lang w:val="en-US" w:eastAsia="ja-JP"/>
        </w:rPr>
        <w:t>; if the signaled difference of the parent node is larger than measured at the child node, the child node advances its TX timing, if smaller the TX timing is delayed.</w:t>
      </w:r>
    </w:p>
    <w:p w14:paraId="4BAFC705" w14:textId="7A06D5FB" w:rsidR="001801F6" w:rsidRDefault="005B45B6" w:rsidP="006A7EE9">
      <w:pPr>
        <w:spacing w:after="120"/>
        <w:jc w:val="both"/>
        <w:rPr>
          <w:rFonts w:eastAsia="MS Mincho"/>
          <w:b/>
          <w:lang w:val="en-US" w:eastAsia="ja-JP"/>
        </w:rPr>
      </w:pPr>
      <w:r w:rsidRPr="005B45B6">
        <w:rPr>
          <w:rFonts w:eastAsia="MS Mincho"/>
          <w:b/>
          <w:lang w:val="en-US" w:eastAsia="ja-JP"/>
        </w:rPr>
        <w:t>Observation</w:t>
      </w:r>
      <w:r w:rsidR="003E68CC">
        <w:rPr>
          <w:rFonts w:eastAsia="MS Mincho"/>
          <w:b/>
          <w:lang w:val="en-US" w:eastAsia="ja-JP"/>
        </w:rPr>
        <w:t xml:space="preserve"> </w:t>
      </w:r>
      <w:r w:rsidR="00AD1CEB">
        <w:rPr>
          <w:rFonts w:eastAsia="MS Mincho"/>
          <w:b/>
          <w:lang w:val="en-US" w:eastAsia="ja-JP"/>
        </w:rPr>
        <w:t>7</w:t>
      </w:r>
      <w:r w:rsidRPr="005B45B6">
        <w:rPr>
          <w:rFonts w:eastAsia="MS Mincho"/>
          <w:b/>
          <w:lang w:val="en-US" w:eastAsia="ja-JP"/>
        </w:rPr>
        <w:t xml:space="preserve">: A modified TA control could be used </w:t>
      </w:r>
      <w:r w:rsidR="00A12B08">
        <w:rPr>
          <w:rFonts w:eastAsia="MS Mincho"/>
          <w:b/>
          <w:lang w:val="en-US" w:eastAsia="ja-JP"/>
        </w:rPr>
        <w:t xml:space="preserve">for </w:t>
      </w:r>
      <w:r w:rsidR="0055797D">
        <w:rPr>
          <w:rFonts w:eastAsia="MS Mincho"/>
          <w:b/>
          <w:lang w:val="en-US" w:eastAsia="ja-JP"/>
        </w:rPr>
        <w:t>the synchronization</w:t>
      </w:r>
      <w:r w:rsidRPr="005B45B6">
        <w:rPr>
          <w:rFonts w:eastAsia="MS Mincho"/>
          <w:b/>
          <w:lang w:val="en-US" w:eastAsia="ja-JP"/>
        </w:rPr>
        <w:t xml:space="preserve"> of the IAB nodes in Case #6.</w:t>
      </w:r>
    </w:p>
    <w:p w14:paraId="42BB290F" w14:textId="4C39D572" w:rsidR="005B45B6" w:rsidRPr="003E1E73" w:rsidRDefault="00FF72B0" w:rsidP="006A7EE9">
      <w:pPr>
        <w:spacing w:after="120"/>
        <w:jc w:val="both"/>
        <w:rPr>
          <w:rFonts w:eastAsia="MS Mincho"/>
          <w:b/>
          <w:lang w:val="en-US" w:eastAsia="ja-JP"/>
        </w:rPr>
      </w:pPr>
      <w:r w:rsidRPr="003E1E73">
        <w:rPr>
          <w:rFonts w:eastAsia="MS Mincho"/>
          <w:b/>
          <w:lang w:val="en-US" w:eastAsia="ja-JP"/>
        </w:rPr>
        <w:t>Proposal 2: Case #6 timing can be considered as an option for IAB but requiring a modified TA control for synchronization. It can be left for the WI phase whether to include the option in the Rel.16 specification.</w:t>
      </w:r>
    </w:p>
    <w:p w14:paraId="0D827FAF" w14:textId="6E9EC3AB" w:rsidR="0034111C" w:rsidRPr="00A51522" w:rsidRDefault="005E7117">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5E8BCBE0" w14:textId="77D915D0" w:rsidR="00F3749B" w:rsidRPr="00F3749B" w:rsidRDefault="007F0C94" w:rsidP="003D300B">
      <w:pPr>
        <w:spacing w:afterLines="50" w:after="120"/>
        <w:jc w:val="both"/>
        <w:rPr>
          <w:b/>
          <w:bCs/>
          <w:lang w:val="en-US"/>
        </w:rPr>
      </w:pPr>
      <w:r>
        <w:rPr>
          <w:lang w:val="en-US"/>
        </w:rPr>
        <w:t>In this contribution we have analyzed the timing options #1, #6 and #7, their specific issues and what should be considered when using those options and what would be possible standards impacts. Based on the study we observed following:</w:t>
      </w:r>
    </w:p>
    <w:p w14:paraId="1FCAFCCE" w14:textId="77777777" w:rsidR="003E68CC" w:rsidRPr="00A72E6D" w:rsidRDefault="003E68CC" w:rsidP="003E68CC">
      <w:pPr>
        <w:spacing w:after="120"/>
        <w:jc w:val="both"/>
        <w:rPr>
          <w:rFonts w:eastAsia="MS Mincho"/>
          <w:b/>
          <w:lang w:eastAsia="ja-JP"/>
        </w:rPr>
      </w:pPr>
      <w:r w:rsidRPr="00A72E6D">
        <w:rPr>
          <w:rFonts w:eastAsia="MS Mincho"/>
          <w:b/>
          <w:lang w:eastAsia="ja-JP"/>
        </w:rPr>
        <w:t>Observation</w:t>
      </w:r>
      <w:r>
        <w:rPr>
          <w:rFonts w:eastAsia="MS Mincho"/>
          <w:b/>
          <w:lang w:eastAsia="ja-JP"/>
        </w:rPr>
        <w:t xml:space="preserve"> 1</w:t>
      </w:r>
      <w:r w:rsidRPr="00A72E6D">
        <w:rPr>
          <w:rFonts w:eastAsia="MS Mincho"/>
          <w:b/>
          <w:lang w:eastAsia="ja-JP"/>
        </w:rPr>
        <w:t xml:space="preserve">: The serving node should always adjust the UL timing according to indicated </w:t>
      </w:r>
      <w:proofErr w:type="spellStart"/>
      <w:r w:rsidRPr="00A72E6D">
        <w:rPr>
          <w:rFonts w:eastAsia="MS Mincho"/>
          <w:b/>
          <w:lang w:eastAsia="ja-JP"/>
        </w:rPr>
        <w:t>TAoffset</w:t>
      </w:r>
      <w:proofErr w:type="spellEnd"/>
      <w:r w:rsidRPr="00A72E6D">
        <w:rPr>
          <w:rFonts w:eastAsia="MS Mincho"/>
          <w:b/>
          <w:lang w:eastAsia="ja-JP"/>
        </w:rPr>
        <w:t xml:space="preserve"> to enable accurate estimation of the propagation delay over the BH link.</w:t>
      </w:r>
    </w:p>
    <w:p w14:paraId="00BC3D49" w14:textId="734C002E" w:rsidR="003E68CC" w:rsidRPr="00C04BD4" w:rsidRDefault="003E68CC" w:rsidP="003E68CC">
      <w:pPr>
        <w:spacing w:after="120"/>
        <w:rPr>
          <w:b/>
          <w:lang w:val="en-US"/>
        </w:rPr>
      </w:pPr>
      <w:r w:rsidRPr="00C04BD4">
        <w:rPr>
          <w:b/>
          <w:lang w:val="en-US"/>
        </w:rPr>
        <w:t>Observation</w:t>
      </w:r>
      <w:r>
        <w:rPr>
          <w:b/>
          <w:lang w:val="en-US"/>
        </w:rPr>
        <w:t xml:space="preserve"> 2</w:t>
      </w:r>
      <w:r w:rsidRPr="00C04BD4">
        <w:rPr>
          <w:b/>
          <w:lang w:val="en-US"/>
        </w:rPr>
        <w:t>: Missing support of negative initial time alignment can increase interference when using SDM/FDM at the IAB node</w:t>
      </w:r>
      <w:r>
        <w:rPr>
          <w:b/>
          <w:lang w:val="en-US"/>
        </w:rPr>
        <w:t xml:space="preserve"> applying Case #7 timing</w:t>
      </w:r>
      <w:r w:rsidRPr="00C04BD4">
        <w:rPr>
          <w:b/>
          <w:lang w:val="en-US"/>
        </w:rPr>
        <w:t>.</w:t>
      </w:r>
    </w:p>
    <w:p w14:paraId="068510A8" w14:textId="77777777" w:rsidR="003E68CC" w:rsidRPr="00190FFA" w:rsidRDefault="003E68CC" w:rsidP="003E68CC">
      <w:pPr>
        <w:spacing w:after="120"/>
        <w:jc w:val="both"/>
        <w:rPr>
          <w:rFonts w:eastAsia="MS Mincho"/>
          <w:b/>
          <w:lang w:eastAsia="ja-JP"/>
        </w:rPr>
      </w:pPr>
      <w:r>
        <w:rPr>
          <w:rFonts w:eastAsia="MS Mincho"/>
          <w:b/>
          <w:lang w:eastAsia="ja-JP"/>
        </w:rPr>
        <w:t>Observation 3</w:t>
      </w:r>
      <w:r w:rsidRPr="00190FFA">
        <w:rPr>
          <w:rFonts w:eastAsia="MS Mincho"/>
          <w:b/>
          <w:lang w:eastAsia="ja-JP"/>
        </w:rPr>
        <w:t xml:space="preserve">: </w:t>
      </w:r>
      <w:r>
        <w:rPr>
          <w:rFonts w:eastAsia="MS Mincho"/>
          <w:b/>
          <w:lang w:eastAsia="ja-JP"/>
        </w:rPr>
        <w:t>Symbol level alignment by increasing TA in steps of the symbol duration would lead to usage of mini-slots on the child/access link. Otherwise, additional signalling would be needed between the parent/child IAB nodes to indicate the need for muting of symbol(s) at the end of the DL slot.</w:t>
      </w:r>
    </w:p>
    <w:p w14:paraId="31441C9A" w14:textId="77777777" w:rsidR="00AD1CEB" w:rsidRDefault="00AD1CEB" w:rsidP="00AD1CEB">
      <w:pPr>
        <w:spacing w:after="120"/>
        <w:jc w:val="both"/>
        <w:rPr>
          <w:rFonts w:eastAsia="MS Mincho"/>
          <w:b/>
          <w:lang w:val="en-US" w:eastAsia="ja-JP"/>
        </w:rPr>
      </w:pPr>
      <w:r w:rsidRPr="00D7489F">
        <w:rPr>
          <w:rFonts w:eastAsia="MS Mincho"/>
          <w:b/>
          <w:lang w:val="en-US" w:eastAsia="ja-JP"/>
        </w:rPr>
        <w:t xml:space="preserve">Observation 4: Mini slot support may not be available in the early phases of NR deployment to </w:t>
      </w:r>
      <w:r>
        <w:rPr>
          <w:rFonts w:eastAsia="MS Mincho"/>
          <w:b/>
          <w:lang w:val="en-US" w:eastAsia="ja-JP"/>
        </w:rPr>
        <w:t xml:space="preserve">be used to </w:t>
      </w:r>
      <w:r w:rsidRPr="00D7489F">
        <w:rPr>
          <w:rFonts w:eastAsia="MS Mincho"/>
          <w:b/>
          <w:lang w:val="en-US" w:eastAsia="ja-JP"/>
        </w:rPr>
        <w:t>avoid the issue with negative TA.</w:t>
      </w:r>
    </w:p>
    <w:p w14:paraId="277DA657" w14:textId="77777777" w:rsidR="00AD1CEB" w:rsidRPr="00D7489F" w:rsidRDefault="00AD1CEB" w:rsidP="00AD1CEB">
      <w:pPr>
        <w:spacing w:after="120"/>
        <w:jc w:val="both"/>
        <w:rPr>
          <w:rFonts w:eastAsia="MS Mincho"/>
          <w:b/>
          <w:lang w:val="en-US" w:eastAsia="ja-JP"/>
        </w:rPr>
      </w:pPr>
      <w:r w:rsidRPr="00D7489F">
        <w:rPr>
          <w:rFonts w:eastAsia="MS Mincho"/>
          <w:b/>
          <w:lang w:val="en-US" w:eastAsia="ja-JP"/>
        </w:rPr>
        <w:t>Observation 5: Case #7 timing is practically applicable only in limited IAB deployment scenarios.</w:t>
      </w:r>
    </w:p>
    <w:p w14:paraId="2F45A9E2" w14:textId="4A2F3D58" w:rsidR="003E68CC" w:rsidRDefault="003E68CC" w:rsidP="003E68CC">
      <w:pPr>
        <w:spacing w:after="120"/>
        <w:jc w:val="both"/>
        <w:rPr>
          <w:rFonts w:eastAsia="MS Mincho"/>
          <w:b/>
          <w:lang w:val="en-US" w:eastAsia="ja-JP"/>
        </w:rPr>
      </w:pPr>
      <w:r>
        <w:rPr>
          <w:rFonts w:eastAsia="MS Mincho"/>
          <w:b/>
          <w:lang w:val="en-US" w:eastAsia="ja-JP"/>
        </w:rPr>
        <w:t xml:space="preserve">Observation </w:t>
      </w:r>
      <w:r w:rsidR="00AD1CEB">
        <w:rPr>
          <w:rFonts w:eastAsia="MS Mincho"/>
          <w:b/>
          <w:lang w:val="en-US" w:eastAsia="ja-JP"/>
        </w:rPr>
        <w:t>6</w:t>
      </w:r>
      <w:r>
        <w:rPr>
          <w:rFonts w:eastAsia="MS Mincho"/>
          <w:b/>
          <w:lang w:val="en-US" w:eastAsia="ja-JP"/>
        </w:rPr>
        <w:t xml:space="preserve">: In Case #6 the interference due to mis-alignment of the RX signals can be remedied by usage of multiple panels </w:t>
      </w:r>
      <w:r w:rsidR="00E6507D">
        <w:rPr>
          <w:rFonts w:eastAsia="MS Mincho"/>
          <w:b/>
          <w:lang w:val="en-US" w:eastAsia="ja-JP"/>
        </w:rPr>
        <w:t>and/</w:t>
      </w:r>
      <w:r>
        <w:rPr>
          <w:rFonts w:eastAsia="MS Mincho"/>
          <w:b/>
          <w:lang w:val="en-US" w:eastAsia="ja-JP"/>
        </w:rPr>
        <w:t>or separation in frequency domain. These are choices for the IAB implementation.</w:t>
      </w:r>
    </w:p>
    <w:p w14:paraId="0A435853" w14:textId="74F9EB24" w:rsidR="003E68CC" w:rsidRPr="005B45B6" w:rsidRDefault="003E68CC" w:rsidP="003E68CC">
      <w:pPr>
        <w:spacing w:after="120"/>
        <w:jc w:val="both"/>
        <w:rPr>
          <w:rFonts w:eastAsia="MS Mincho"/>
          <w:b/>
          <w:lang w:val="en-US" w:eastAsia="ja-JP"/>
        </w:rPr>
      </w:pPr>
      <w:r w:rsidRPr="005B45B6">
        <w:rPr>
          <w:rFonts w:eastAsia="MS Mincho"/>
          <w:b/>
          <w:lang w:val="en-US" w:eastAsia="ja-JP"/>
        </w:rPr>
        <w:t>Observation</w:t>
      </w:r>
      <w:r>
        <w:rPr>
          <w:rFonts w:eastAsia="MS Mincho"/>
          <w:b/>
          <w:lang w:val="en-US" w:eastAsia="ja-JP"/>
        </w:rPr>
        <w:t xml:space="preserve"> </w:t>
      </w:r>
      <w:r w:rsidR="00AD1CEB">
        <w:rPr>
          <w:rFonts w:eastAsia="MS Mincho"/>
          <w:b/>
          <w:lang w:val="en-US" w:eastAsia="ja-JP"/>
        </w:rPr>
        <w:t>7</w:t>
      </w:r>
      <w:r w:rsidRPr="005B45B6">
        <w:rPr>
          <w:rFonts w:eastAsia="MS Mincho"/>
          <w:b/>
          <w:lang w:val="en-US" w:eastAsia="ja-JP"/>
        </w:rPr>
        <w:t xml:space="preserve">: A modified TA control could be used </w:t>
      </w:r>
      <w:r w:rsidR="00A12B08">
        <w:rPr>
          <w:rFonts w:eastAsia="MS Mincho"/>
          <w:b/>
          <w:lang w:val="en-US" w:eastAsia="ja-JP"/>
        </w:rPr>
        <w:t xml:space="preserve">for </w:t>
      </w:r>
      <w:r>
        <w:rPr>
          <w:rFonts w:eastAsia="MS Mincho"/>
          <w:b/>
          <w:lang w:val="en-US" w:eastAsia="ja-JP"/>
        </w:rPr>
        <w:t>the synchronization</w:t>
      </w:r>
      <w:r w:rsidRPr="005B45B6">
        <w:rPr>
          <w:rFonts w:eastAsia="MS Mincho"/>
          <w:b/>
          <w:lang w:val="en-US" w:eastAsia="ja-JP"/>
        </w:rPr>
        <w:t xml:space="preserve"> of the IAB nodes in Case #6.</w:t>
      </w:r>
    </w:p>
    <w:p w14:paraId="5B66C320" w14:textId="3B2B05A6" w:rsidR="00F3749B" w:rsidRDefault="00F3749B" w:rsidP="00A2190A">
      <w:pPr>
        <w:spacing w:after="120"/>
        <w:jc w:val="both"/>
        <w:rPr>
          <w:bCs/>
          <w:lang w:val="en-US"/>
        </w:rPr>
      </w:pPr>
    </w:p>
    <w:p w14:paraId="7C8484B2" w14:textId="5B2693C8" w:rsidR="007F0C94" w:rsidRDefault="00FF72B0" w:rsidP="00A2190A">
      <w:pPr>
        <w:spacing w:after="120"/>
        <w:jc w:val="both"/>
        <w:rPr>
          <w:bCs/>
          <w:lang w:val="en-US"/>
        </w:rPr>
      </w:pPr>
      <w:r>
        <w:rPr>
          <w:bCs/>
          <w:lang w:val="en-US"/>
        </w:rPr>
        <w:t>According to our analysis, we see limited applicability for Case #7. Case #6 would be implementable but would seem to need specific TA control for synchronization. Hence, we are proposing:</w:t>
      </w:r>
    </w:p>
    <w:p w14:paraId="046BA99C" w14:textId="77777777" w:rsidR="00E6507D" w:rsidRPr="00250138" w:rsidRDefault="00E6507D" w:rsidP="00E6507D">
      <w:pPr>
        <w:spacing w:after="120"/>
        <w:jc w:val="both"/>
        <w:rPr>
          <w:rFonts w:eastAsia="MS Mincho"/>
          <w:b/>
          <w:lang w:val="en-US" w:eastAsia="ja-JP"/>
        </w:rPr>
      </w:pPr>
      <w:r w:rsidRPr="00250138">
        <w:rPr>
          <w:rFonts w:eastAsia="MS Mincho"/>
          <w:b/>
          <w:lang w:val="en-US" w:eastAsia="ja-JP"/>
        </w:rPr>
        <w:t xml:space="preserve">Proposal 1: Even though Case #7 could be used with legacy UEs, </w:t>
      </w:r>
      <w:r>
        <w:rPr>
          <w:rFonts w:eastAsia="MS Mincho"/>
          <w:b/>
          <w:lang w:val="en-US" w:eastAsia="ja-JP"/>
        </w:rPr>
        <w:t xml:space="preserve">as a non-optimum solution RAN1 is asked to consider dropping the timing </w:t>
      </w:r>
      <w:r w:rsidRPr="00250138">
        <w:rPr>
          <w:rFonts w:eastAsia="MS Mincho"/>
          <w:b/>
          <w:lang w:val="en-US" w:eastAsia="ja-JP"/>
        </w:rPr>
        <w:t>option due to its limited usability and/or negative impacts on radio performance.</w:t>
      </w:r>
    </w:p>
    <w:p w14:paraId="25C61177" w14:textId="77777777" w:rsidR="00FF72B0" w:rsidRPr="00D7489F" w:rsidRDefault="00FF72B0" w:rsidP="00FF72B0">
      <w:pPr>
        <w:spacing w:after="120"/>
        <w:jc w:val="both"/>
        <w:rPr>
          <w:rFonts w:eastAsia="MS Mincho"/>
          <w:b/>
          <w:lang w:val="en-US" w:eastAsia="ja-JP"/>
        </w:rPr>
      </w:pPr>
      <w:r w:rsidRPr="00D7489F">
        <w:rPr>
          <w:rFonts w:eastAsia="MS Mincho"/>
          <w:b/>
          <w:lang w:val="en-US" w:eastAsia="ja-JP"/>
        </w:rPr>
        <w:t>Proposal 2: Case #6 timing can be considered as an option for IAB but requiring a modified TA control for synchronization. It can be left for the WI phase whether to include the option in the Rel.16 specification.</w:t>
      </w:r>
    </w:p>
    <w:p w14:paraId="0F654594" w14:textId="77777777" w:rsidR="007F0C94" w:rsidRPr="003E68CC" w:rsidRDefault="007F0C94" w:rsidP="00A2190A">
      <w:pPr>
        <w:spacing w:after="120"/>
        <w:jc w:val="both"/>
        <w:rPr>
          <w:bCs/>
          <w:lang w:val="en-US"/>
        </w:rPr>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p w14:paraId="40D99FF0" w14:textId="49F05495" w:rsidR="00055676" w:rsidRDefault="002A41A1" w:rsidP="00AC276B">
      <w:pPr>
        <w:numPr>
          <w:ilvl w:val="0"/>
          <w:numId w:val="1"/>
        </w:numPr>
        <w:rPr>
          <w:sz w:val="18"/>
        </w:rPr>
      </w:pPr>
      <w:hyperlink r:id="rId22" w:history="1">
        <w:r w:rsidR="00217A82" w:rsidRPr="00F33C87">
          <w:rPr>
            <w:rStyle w:val="Hyperlink"/>
            <w:sz w:val="18"/>
            <w:lang w:eastAsia="x-none"/>
          </w:rPr>
          <w:t>RP_181349</w:t>
        </w:r>
      </w:hyperlink>
      <w:r w:rsidR="00217A82">
        <w:rPr>
          <w:sz w:val="18"/>
          <w:lang w:eastAsia="zh-CN"/>
        </w:rPr>
        <w:t>,</w:t>
      </w:r>
      <w:r w:rsidR="00055676" w:rsidRPr="00013455">
        <w:rPr>
          <w:sz w:val="18"/>
          <w:lang w:eastAsia="zh-CN"/>
        </w:rPr>
        <w:t xml:space="preserve"> </w:t>
      </w:r>
      <w:r w:rsidR="00D060FF" w:rsidRPr="00013455">
        <w:rPr>
          <w:sz w:val="18"/>
          <w:lang w:eastAsia="zh-CN"/>
        </w:rPr>
        <w:t>“</w:t>
      </w:r>
      <w:r w:rsidR="00AC276B" w:rsidRPr="00AC276B">
        <w:rPr>
          <w:i/>
          <w:sz w:val="18"/>
          <w:lang w:eastAsia="zh-CN"/>
        </w:rPr>
        <w:t>Study on Integrated Access and Backhaul for NR</w:t>
      </w:r>
      <w:r w:rsidR="00D060FF" w:rsidRPr="00013455">
        <w:rPr>
          <w:sz w:val="18"/>
          <w:lang w:eastAsia="zh-CN"/>
        </w:rPr>
        <w:t>”</w:t>
      </w:r>
      <w:r w:rsidR="00055676" w:rsidRPr="00013455">
        <w:rPr>
          <w:sz w:val="18"/>
          <w:lang w:eastAsia="zh-CN"/>
        </w:rPr>
        <w:t xml:space="preserve">, </w:t>
      </w:r>
      <w:r w:rsidR="00AC276B">
        <w:rPr>
          <w:sz w:val="18"/>
          <w:lang w:eastAsia="zh-CN"/>
        </w:rPr>
        <w:t>AT&amp;T, Qualcomm, Samsung</w:t>
      </w:r>
      <w:r w:rsidR="00217A82">
        <w:rPr>
          <w:sz w:val="18"/>
          <w:lang w:eastAsia="zh-CN"/>
        </w:rPr>
        <w:t>, KDDI</w:t>
      </w:r>
    </w:p>
    <w:p w14:paraId="6CD908A2" w14:textId="19FCEA44" w:rsidR="006C524F" w:rsidRPr="006C524F" w:rsidRDefault="006C524F" w:rsidP="006C524F">
      <w:pPr>
        <w:numPr>
          <w:ilvl w:val="0"/>
          <w:numId w:val="1"/>
        </w:numPr>
        <w:rPr>
          <w:sz w:val="18"/>
        </w:rPr>
      </w:pPr>
      <w:bookmarkStart w:id="5" w:name="_Ref525649429"/>
      <w:r w:rsidRPr="006C524F">
        <w:rPr>
          <w:i/>
          <w:sz w:val="18"/>
        </w:rPr>
        <w:t>Draft Report of 3GPP TSG RAN WG1 #94</w:t>
      </w:r>
      <w:r w:rsidR="00D77311">
        <w:rPr>
          <w:i/>
          <w:sz w:val="18"/>
        </w:rPr>
        <w:t>bis</w:t>
      </w:r>
      <w:r w:rsidRPr="006C524F">
        <w:rPr>
          <w:i/>
          <w:sz w:val="18"/>
        </w:rPr>
        <w:t xml:space="preserve"> v0.1.0</w:t>
      </w:r>
      <w:bookmarkEnd w:id="5"/>
    </w:p>
    <w:p w14:paraId="0994A867" w14:textId="1995C78F" w:rsidR="006C524F" w:rsidRDefault="00D77311" w:rsidP="006C524F">
      <w:pPr>
        <w:numPr>
          <w:ilvl w:val="0"/>
          <w:numId w:val="1"/>
        </w:numPr>
        <w:rPr>
          <w:sz w:val="18"/>
        </w:rPr>
      </w:pPr>
      <w:bookmarkStart w:id="6" w:name="_Ref525649815"/>
      <w:r>
        <w:rPr>
          <w:sz w:val="18"/>
        </w:rPr>
        <w:t>R1-1810678</w:t>
      </w:r>
      <w:r w:rsidR="006C524F">
        <w:rPr>
          <w:sz w:val="18"/>
        </w:rPr>
        <w:t>, “</w:t>
      </w:r>
      <w:r w:rsidR="006C524F" w:rsidRPr="006C524F">
        <w:rPr>
          <w:i/>
          <w:sz w:val="18"/>
        </w:rPr>
        <w:t>IAB timing</w:t>
      </w:r>
      <w:r w:rsidR="006C524F">
        <w:rPr>
          <w:sz w:val="18"/>
        </w:rPr>
        <w:t>”, Nokia, Nokia Shanghai Bell</w:t>
      </w:r>
      <w:bookmarkEnd w:id="6"/>
    </w:p>
    <w:p w14:paraId="22156DED" w14:textId="47D9F307" w:rsidR="00D53AF5" w:rsidRPr="003C6F06" w:rsidRDefault="00D53AF5" w:rsidP="00D53AF5">
      <w:pPr>
        <w:numPr>
          <w:ilvl w:val="0"/>
          <w:numId w:val="1"/>
        </w:numPr>
        <w:rPr>
          <w:sz w:val="18"/>
        </w:rPr>
      </w:pPr>
      <w:bookmarkStart w:id="7" w:name="_Ref528137239"/>
      <w:r>
        <w:rPr>
          <w:sz w:val="18"/>
        </w:rPr>
        <w:t xml:space="preserve">TS 38.213, </w:t>
      </w:r>
      <w:r w:rsidRPr="00D53AF5">
        <w:rPr>
          <w:i/>
          <w:sz w:val="18"/>
        </w:rPr>
        <w:t>Physical layer procedures for control</w:t>
      </w:r>
      <w:bookmarkEnd w:id="7"/>
    </w:p>
    <w:p w14:paraId="0F4D3D6C" w14:textId="3B3616A4" w:rsidR="003C6F06" w:rsidRDefault="003C6F06" w:rsidP="003C6F06">
      <w:pPr>
        <w:numPr>
          <w:ilvl w:val="0"/>
          <w:numId w:val="1"/>
        </w:numPr>
        <w:rPr>
          <w:sz w:val="18"/>
        </w:rPr>
      </w:pPr>
      <w:r>
        <w:rPr>
          <w:sz w:val="18"/>
        </w:rPr>
        <w:t xml:space="preserve">TS 38.321, </w:t>
      </w:r>
      <w:r w:rsidRPr="003C6F06">
        <w:rPr>
          <w:i/>
          <w:sz w:val="18"/>
        </w:rPr>
        <w:t>Medium Access Control (MAC) protocol specification</w:t>
      </w:r>
    </w:p>
    <w:sectPr w:rsidR="003C6F06" w:rsidSect="000131D1">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EFE1D" w14:textId="77777777" w:rsidR="008629B7" w:rsidRDefault="008629B7">
      <w:r>
        <w:separator/>
      </w:r>
    </w:p>
  </w:endnote>
  <w:endnote w:type="continuationSeparator" w:id="0">
    <w:p w14:paraId="32A9DAFA" w14:textId="77777777" w:rsidR="008629B7" w:rsidRDefault="008629B7">
      <w:r>
        <w:continuationSeparator/>
      </w:r>
    </w:p>
  </w:endnote>
  <w:endnote w:type="continuationNotice" w:id="1">
    <w:p w14:paraId="45092B11" w14:textId="77777777" w:rsidR="008629B7" w:rsidRDefault="00862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8C7A67" w:rsidRDefault="008C7A67">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3C8AB1B8" w:rsidR="008C7A67" w:rsidRPr="00B75603" w:rsidRDefault="008C7A67"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3C8AB1B8" w:rsidR="008C7A67" w:rsidRPr="00B75603" w:rsidRDefault="008C7A67"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90702" w14:textId="77777777" w:rsidR="008629B7" w:rsidRDefault="008629B7">
      <w:r>
        <w:separator/>
      </w:r>
    </w:p>
  </w:footnote>
  <w:footnote w:type="continuationSeparator" w:id="0">
    <w:p w14:paraId="716E1AD3" w14:textId="77777777" w:rsidR="008629B7" w:rsidRDefault="008629B7">
      <w:r>
        <w:continuationSeparator/>
      </w:r>
    </w:p>
  </w:footnote>
  <w:footnote w:type="continuationNotice" w:id="1">
    <w:p w14:paraId="5981079C" w14:textId="77777777" w:rsidR="008629B7" w:rsidRDefault="008629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36A"/>
    <w:multiLevelType w:val="hybridMultilevel"/>
    <w:tmpl w:val="35100A9A"/>
    <w:lvl w:ilvl="0" w:tplc="BA9ED8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77576"/>
    <w:multiLevelType w:val="hybridMultilevel"/>
    <w:tmpl w:val="E3FE3D3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 w15:restartNumberingAfterBreak="0">
    <w:nsid w:val="71064A36"/>
    <w:multiLevelType w:val="hybridMultilevel"/>
    <w:tmpl w:val="8C4E0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5C64"/>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D68"/>
    <w:rsid w:val="00014F35"/>
    <w:rsid w:val="00014F5E"/>
    <w:rsid w:val="00015F98"/>
    <w:rsid w:val="000166AC"/>
    <w:rsid w:val="00017B7F"/>
    <w:rsid w:val="00017EDA"/>
    <w:rsid w:val="000215BE"/>
    <w:rsid w:val="00021662"/>
    <w:rsid w:val="00022DCB"/>
    <w:rsid w:val="00023742"/>
    <w:rsid w:val="00024AEF"/>
    <w:rsid w:val="00026C65"/>
    <w:rsid w:val="00027755"/>
    <w:rsid w:val="000277A9"/>
    <w:rsid w:val="00030048"/>
    <w:rsid w:val="0003072D"/>
    <w:rsid w:val="000314CD"/>
    <w:rsid w:val="0003163F"/>
    <w:rsid w:val="000317E7"/>
    <w:rsid w:val="00031E62"/>
    <w:rsid w:val="00032D37"/>
    <w:rsid w:val="00033544"/>
    <w:rsid w:val="00033651"/>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B59"/>
    <w:rsid w:val="00054D9D"/>
    <w:rsid w:val="00055676"/>
    <w:rsid w:val="00056544"/>
    <w:rsid w:val="00057529"/>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37C9"/>
    <w:rsid w:val="0007494F"/>
    <w:rsid w:val="000750D5"/>
    <w:rsid w:val="00075FDA"/>
    <w:rsid w:val="00076386"/>
    <w:rsid w:val="00076D82"/>
    <w:rsid w:val="00077655"/>
    <w:rsid w:val="00080284"/>
    <w:rsid w:val="00081EC2"/>
    <w:rsid w:val="000823FE"/>
    <w:rsid w:val="000825E2"/>
    <w:rsid w:val="00082B41"/>
    <w:rsid w:val="00083800"/>
    <w:rsid w:val="00084A65"/>
    <w:rsid w:val="00085090"/>
    <w:rsid w:val="00086572"/>
    <w:rsid w:val="00090EDD"/>
    <w:rsid w:val="00091A92"/>
    <w:rsid w:val="00093C49"/>
    <w:rsid w:val="0009508C"/>
    <w:rsid w:val="0009556A"/>
    <w:rsid w:val="00095A80"/>
    <w:rsid w:val="00096A43"/>
    <w:rsid w:val="000973C8"/>
    <w:rsid w:val="000973E1"/>
    <w:rsid w:val="0009774C"/>
    <w:rsid w:val="000A1402"/>
    <w:rsid w:val="000A1DFC"/>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1D59"/>
    <w:rsid w:val="000C347C"/>
    <w:rsid w:val="000C4AEB"/>
    <w:rsid w:val="000C501D"/>
    <w:rsid w:val="000C5B1F"/>
    <w:rsid w:val="000C74BA"/>
    <w:rsid w:val="000C7531"/>
    <w:rsid w:val="000C7C3F"/>
    <w:rsid w:val="000D02C6"/>
    <w:rsid w:val="000D0BD6"/>
    <w:rsid w:val="000D0C61"/>
    <w:rsid w:val="000D27AD"/>
    <w:rsid w:val="000D29D1"/>
    <w:rsid w:val="000D2B0A"/>
    <w:rsid w:val="000D3286"/>
    <w:rsid w:val="000D344D"/>
    <w:rsid w:val="000D40E7"/>
    <w:rsid w:val="000D584F"/>
    <w:rsid w:val="000D6DCC"/>
    <w:rsid w:val="000D794A"/>
    <w:rsid w:val="000E071E"/>
    <w:rsid w:val="000E1790"/>
    <w:rsid w:val="000E27AA"/>
    <w:rsid w:val="000E337A"/>
    <w:rsid w:val="000E3456"/>
    <w:rsid w:val="000E4350"/>
    <w:rsid w:val="000E4408"/>
    <w:rsid w:val="000E5716"/>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0F75A4"/>
    <w:rsid w:val="00101C4F"/>
    <w:rsid w:val="00102C9F"/>
    <w:rsid w:val="001036C8"/>
    <w:rsid w:val="001068D2"/>
    <w:rsid w:val="001103BD"/>
    <w:rsid w:val="00111208"/>
    <w:rsid w:val="00111808"/>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3BC5"/>
    <w:rsid w:val="001540E4"/>
    <w:rsid w:val="00155464"/>
    <w:rsid w:val="00155BFD"/>
    <w:rsid w:val="00157390"/>
    <w:rsid w:val="00160998"/>
    <w:rsid w:val="00160CD6"/>
    <w:rsid w:val="0016316A"/>
    <w:rsid w:val="00164171"/>
    <w:rsid w:val="00164DC9"/>
    <w:rsid w:val="00164E58"/>
    <w:rsid w:val="00165033"/>
    <w:rsid w:val="00165B18"/>
    <w:rsid w:val="001670EA"/>
    <w:rsid w:val="0016735F"/>
    <w:rsid w:val="001674A0"/>
    <w:rsid w:val="001675D8"/>
    <w:rsid w:val="00170205"/>
    <w:rsid w:val="00170A50"/>
    <w:rsid w:val="0017157A"/>
    <w:rsid w:val="0017183F"/>
    <w:rsid w:val="001718FF"/>
    <w:rsid w:val="00171F0C"/>
    <w:rsid w:val="00174FFD"/>
    <w:rsid w:val="001759CA"/>
    <w:rsid w:val="00176E51"/>
    <w:rsid w:val="0017726A"/>
    <w:rsid w:val="00177B88"/>
    <w:rsid w:val="00177DD3"/>
    <w:rsid w:val="001801F6"/>
    <w:rsid w:val="00180278"/>
    <w:rsid w:val="00181327"/>
    <w:rsid w:val="001818A7"/>
    <w:rsid w:val="00182725"/>
    <w:rsid w:val="001829C8"/>
    <w:rsid w:val="00182CA0"/>
    <w:rsid w:val="00182E04"/>
    <w:rsid w:val="00183FB0"/>
    <w:rsid w:val="00184098"/>
    <w:rsid w:val="00185D8A"/>
    <w:rsid w:val="00186904"/>
    <w:rsid w:val="00186B0A"/>
    <w:rsid w:val="001905BD"/>
    <w:rsid w:val="00190946"/>
    <w:rsid w:val="00190FFA"/>
    <w:rsid w:val="001925BD"/>
    <w:rsid w:val="00192699"/>
    <w:rsid w:val="00192FE6"/>
    <w:rsid w:val="00193451"/>
    <w:rsid w:val="00193986"/>
    <w:rsid w:val="00193B08"/>
    <w:rsid w:val="0019435C"/>
    <w:rsid w:val="00194570"/>
    <w:rsid w:val="00196BF4"/>
    <w:rsid w:val="001972DA"/>
    <w:rsid w:val="001976AA"/>
    <w:rsid w:val="00197919"/>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5A0D"/>
    <w:rsid w:val="001B69CA"/>
    <w:rsid w:val="001B7E0C"/>
    <w:rsid w:val="001C0674"/>
    <w:rsid w:val="001C0BC6"/>
    <w:rsid w:val="001C18A9"/>
    <w:rsid w:val="001C226F"/>
    <w:rsid w:val="001C4130"/>
    <w:rsid w:val="001C52F3"/>
    <w:rsid w:val="001C66AC"/>
    <w:rsid w:val="001C6754"/>
    <w:rsid w:val="001C77F0"/>
    <w:rsid w:val="001C7A39"/>
    <w:rsid w:val="001D1B8A"/>
    <w:rsid w:val="001D2304"/>
    <w:rsid w:val="001D2B7D"/>
    <w:rsid w:val="001D321F"/>
    <w:rsid w:val="001D46A0"/>
    <w:rsid w:val="001D4E22"/>
    <w:rsid w:val="001D5FB0"/>
    <w:rsid w:val="001D689E"/>
    <w:rsid w:val="001D7CA4"/>
    <w:rsid w:val="001D7E58"/>
    <w:rsid w:val="001E1791"/>
    <w:rsid w:val="001E287E"/>
    <w:rsid w:val="001E30A0"/>
    <w:rsid w:val="001E3F75"/>
    <w:rsid w:val="001E4D4F"/>
    <w:rsid w:val="001E57CF"/>
    <w:rsid w:val="001E5981"/>
    <w:rsid w:val="001E74BA"/>
    <w:rsid w:val="001E7B9F"/>
    <w:rsid w:val="001F01FB"/>
    <w:rsid w:val="001F0658"/>
    <w:rsid w:val="001F0E92"/>
    <w:rsid w:val="001F1306"/>
    <w:rsid w:val="001F1987"/>
    <w:rsid w:val="001F23BD"/>
    <w:rsid w:val="001F34DA"/>
    <w:rsid w:val="001F4DAC"/>
    <w:rsid w:val="001F5019"/>
    <w:rsid w:val="001F53CA"/>
    <w:rsid w:val="001F5EFA"/>
    <w:rsid w:val="001F650F"/>
    <w:rsid w:val="001F67AA"/>
    <w:rsid w:val="001F692F"/>
    <w:rsid w:val="001F7599"/>
    <w:rsid w:val="00204663"/>
    <w:rsid w:val="00204B3A"/>
    <w:rsid w:val="00204E26"/>
    <w:rsid w:val="0020535A"/>
    <w:rsid w:val="00205F67"/>
    <w:rsid w:val="00206955"/>
    <w:rsid w:val="00210309"/>
    <w:rsid w:val="002121A8"/>
    <w:rsid w:val="00212FB8"/>
    <w:rsid w:val="00213709"/>
    <w:rsid w:val="002149AF"/>
    <w:rsid w:val="00214A86"/>
    <w:rsid w:val="00215664"/>
    <w:rsid w:val="00215AAA"/>
    <w:rsid w:val="0021683C"/>
    <w:rsid w:val="00216B2E"/>
    <w:rsid w:val="00217A82"/>
    <w:rsid w:val="00220E52"/>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D0E"/>
    <w:rsid w:val="00235398"/>
    <w:rsid w:val="00236450"/>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5EF"/>
    <w:rsid w:val="00252BBC"/>
    <w:rsid w:val="00252C17"/>
    <w:rsid w:val="0025307F"/>
    <w:rsid w:val="002551BD"/>
    <w:rsid w:val="002568D0"/>
    <w:rsid w:val="00257FFB"/>
    <w:rsid w:val="0026198E"/>
    <w:rsid w:val="00262661"/>
    <w:rsid w:val="00262AE0"/>
    <w:rsid w:val="002632DF"/>
    <w:rsid w:val="0026400A"/>
    <w:rsid w:val="002640BA"/>
    <w:rsid w:val="00264B30"/>
    <w:rsid w:val="00264CF2"/>
    <w:rsid w:val="00266462"/>
    <w:rsid w:val="00267587"/>
    <w:rsid w:val="00270822"/>
    <w:rsid w:val="00271589"/>
    <w:rsid w:val="002720E1"/>
    <w:rsid w:val="00273177"/>
    <w:rsid w:val="00275074"/>
    <w:rsid w:val="002763E9"/>
    <w:rsid w:val="00276736"/>
    <w:rsid w:val="00281D1C"/>
    <w:rsid w:val="00283B8D"/>
    <w:rsid w:val="00284C7E"/>
    <w:rsid w:val="00284E32"/>
    <w:rsid w:val="002851EB"/>
    <w:rsid w:val="00285308"/>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518B"/>
    <w:rsid w:val="002960D5"/>
    <w:rsid w:val="00296371"/>
    <w:rsid w:val="0029687F"/>
    <w:rsid w:val="002A1062"/>
    <w:rsid w:val="002A2012"/>
    <w:rsid w:val="002A2413"/>
    <w:rsid w:val="002A2F5E"/>
    <w:rsid w:val="002A352A"/>
    <w:rsid w:val="002A41A1"/>
    <w:rsid w:val="002A607D"/>
    <w:rsid w:val="002A7D9C"/>
    <w:rsid w:val="002B132E"/>
    <w:rsid w:val="002B2813"/>
    <w:rsid w:val="002B2D29"/>
    <w:rsid w:val="002B3B5A"/>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FA1"/>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695B"/>
    <w:rsid w:val="002F6CED"/>
    <w:rsid w:val="002F72DA"/>
    <w:rsid w:val="002F76B1"/>
    <w:rsid w:val="002F7CC8"/>
    <w:rsid w:val="002F7D66"/>
    <w:rsid w:val="002F7DBE"/>
    <w:rsid w:val="0030090B"/>
    <w:rsid w:val="00302AE8"/>
    <w:rsid w:val="00302BB1"/>
    <w:rsid w:val="003038F8"/>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EA8"/>
    <w:rsid w:val="003363DD"/>
    <w:rsid w:val="00340361"/>
    <w:rsid w:val="00340795"/>
    <w:rsid w:val="00340D5F"/>
    <w:rsid w:val="0034111C"/>
    <w:rsid w:val="00341E60"/>
    <w:rsid w:val="0034217F"/>
    <w:rsid w:val="00342AD2"/>
    <w:rsid w:val="00343954"/>
    <w:rsid w:val="00345405"/>
    <w:rsid w:val="00345612"/>
    <w:rsid w:val="00345DDD"/>
    <w:rsid w:val="00346FED"/>
    <w:rsid w:val="0035007F"/>
    <w:rsid w:val="00351E01"/>
    <w:rsid w:val="0035274C"/>
    <w:rsid w:val="00352D21"/>
    <w:rsid w:val="0035443D"/>
    <w:rsid w:val="00354FEE"/>
    <w:rsid w:val="0035536A"/>
    <w:rsid w:val="00356275"/>
    <w:rsid w:val="003569B7"/>
    <w:rsid w:val="00356B54"/>
    <w:rsid w:val="00356BE8"/>
    <w:rsid w:val="00356C0B"/>
    <w:rsid w:val="00357B9C"/>
    <w:rsid w:val="00361412"/>
    <w:rsid w:val="003615CA"/>
    <w:rsid w:val="00361A55"/>
    <w:rsid w:val="00363346"/>
    <w:rsid w:val="003642A6"/>
    <w:rsid w:val="00364853"/>
    <w:rsid w:val="00365DB5"/>
    <w:rsid w:val="00367337"/>
    <w:rsid w:val="00367367"/>
    <w:rsid w:val="00367FD8"/>
    <w:rsid w:val="00370B63"/>
    <w:rsid w:val="00370FCC"/>
    <w:rsid w:val="003711AF"/>
    <w:rsid w:val="00371364"/>
    <w:rsid w:val="003733E5"/>
    <w:rsid w:val="00374848"/>
    <w:rsid w:val="003751C9"/>
    <w:rsid w:val="003757B7"/>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4B37"/>
    <w:rsid w:val="00396D97"/>
    <w:rsid w:val="00396EAE"/>
    <w:rsid w:val="00397AB6"/>
    <w:rsid w:val="00397ACA"/>
    <w:rsid w:val="003A10C3"/>
    <w:rsid w:val="003A1F6B"/>
    <w:rsid w:val="003A597F"/>
    <w:rsid w:val="003A71A8"/>
    <w:rsid w:val="003A7926"/>
    <w:rsid w:val="003B00CA"/>
    <w:rsid w:val="003B030B"/>
    <w:rsid w:val="003B0432"/>
    <w:rsid w:val="003B05D9"/>
    <w:rsid w:val="003B0821"/>
    <w:rsid w:val="003B0BE9"/>
    <w:rsid w:val="003B0DAF"/>
    <w:rsid w:val="003B112D"/>
    <w:rsid w:val="003B19F8"/>
    <w:rsid w:val="003B2E9B"/>
    <w:rsid w:val="003B2F8D"/>
    <w:rsid w:val="003B4FAA"/>
    <w:rsid w:val="003B547A"/>
    <w:rsid w:val="003B68C8"/>
    <w:rsid w:val="003B6B33"/>
    <w:rsid w:val="003B6CB0"/>
    <w:rsid w:val="003B75B9"/>
    <w:rsid w:val="003B7D4D"/>
    <w:rsid w:val="003C0DA2"/>
    <w:rsid w:val="003C0DBA"/>
    <w:rsid w:val="003C1A18"/>
    <w:rsid w:val="003C3261"/>
    <w:rsid w:val="003C5A08"/>
    <w:rsid w:val="003C5C41"/>
    <w:rsid w:val="003C6F06"/>
    <w:rsid w:val="003C7461"/>
    <w:rsid w:val="003D0788"/>
    <w:rsid w:val="003D0E0F"/>
    <w:rsid w:val="003D132A"/>
    <w:rsid w:val="003D1517"/>
    <w:rsid w:val="003D2938"/>
    <w:rsid w:val="003D2C75"/>
    <w:rsid w:val="003D300B"/>
    <w:rsid w:val="003D3FBA"/>
    <w:rsid w:val="003D402B"/>
    <w:rsid w:val="003D4444"/>
    <w:rsid w:val="003D764F"/>
    <w:rsid w:val="003D7D81"/>
    <w:rsid w:val="003E04EB"/>
    <w:rsid w:val="003E0667"/>
    <w:rsid w:val="003E0BCE"/>
    <w:rsid w:val="003E13E0"/>
    <w:rsid w:val="003E1660"/>
    <w:rsid w:val="003E1CD1"/>
    <w:rsid w:val="003E1E73"/>
    <w:rsid w:val="003E2596"/>
    <w:rsid w:val="003E2A2D"/>
    <w:rsid w:val="003E2EEE"/>
    <w:rsid w:val="003E40BD"/>
    <w:rsid w:val="003E439B"/>
    <w:rsid w:val="003E473F"/>
    <w:rsid w:val="003E521F"/>
    <w:rsid w:val="003E64A9"/>
    <w:rsid w:val="003E68CC"/>
    <w:rsid w:val="003E7002"/>
    <w:rsid w:val="003E7905"/>
    <w:rsid w:val="003F0336"/>
    <w:rsid w:val="003F1200"/>
    <w:rsid w:val="003F2147"/>
    <w:rsid w:val="003F4488"/>
    <w:rsid w:val="003F53EE"/>
    <w:rsid w:val="003F5547"/>
    <w:rsid w:val="003F5C40"/>
    <w:rsid w:val="003F6E12"/>
    <w:rsid w:val="003F75ED"/>
    <w:rsid w:val="004002B7"/>
    <w:rsid w:val="00400F31"/>
    <w:rsid w:val="004012AE"/>
    <w:rsid w:val="0040130A"/>
    <w:rsid w:val="00402295"/>
    <w:rsid w:val="004049F1"/>
    <w:rsid w:val="00406B4D"/>
    <w:rsid w:val="00407F6A"/>
    <w:rsid w:val="0041443C"/>
    <w:rsid w:val="004154F7"/>
    <w:rsid w:val="00416D44"/>
    <w:rsid w:val="004176FF"/>
    <w:rsid w:val="00420218"/>
    <w:rsid w:val="00420A7A"/>
    <w:rsid w:val="00420D06"/>
    <w:rsid w:val="00421A27"/>
    <w:rsid w:val="00421D0A"/>
    <w:rsid w:val="004221AD"/>
    <w:rsid w:val="004229D8"/>
    <w:rsid w:val="0042416C"/>
    <w:rsid w:val="004241C5"/>
    <w:rsid w:val="00424641"/>
    <w:rsid w:val="00424FA7"/>
    <w:rsid w:val="00424FBD"/>
    <w:rsid w:val="00426A87"/>
    <w:rsid w:val="004309D8"/>
    <w:rsid w:val="004313D1"/>
    <w:rsid w:val="00431FD5"/>
    <w:rsid w:val="00432110"/>
    <w:rsid w:val="00433EBE"/>
    <w:rsid w:val="00434406"/>
    <w:rsid w:val="0043751F"/>
    <w:rsid w:val="00440993"/>
    <w:rsid w:val="00440FED"/>
    <w:rsid w:val="00441194"/>
    <w:rsid w:val="00441B0A"/>
    <w:rsid w:val="00441B92"/>
    <w:rsid w:val="00442607"/>
    <w:rsid w:val="0044474B"/>
    <w:rsid w:val="00445FF7"/>
    <w:rsid w:val="00447827"/>
    <w:rsid w:val="004501CE"/>
    <w:rsid w:val="0045097F"/>
    <w:rsid w:val="00453341"/>
    <w:rsid w:val="004545C6"/>
    <w:rsid w:val="0045477B"/>
    <w:rsid w:val="00454DCA"/>
    <w:rsid w:val="00455B17"/>
    <w:rsid w:val="00455FE9"/>
    <w:rsid w:val="004561C0"/>
    <w:rsid w:val="00456544"/>
    <w:rsid w:val="00456649"/>
    <w:rsid w:val="004567B7"/>
    <w:rsid w:val="00456856"/>
    <w:rsid w:val="00457810"/>
    <w:rsid w:val="00460839"/>
    <w:rsid w:val="00461210"/>
    <w:rsid w:val="00462490"/>
    <w:rsid w:val="00462A0A"/>
    <w:rsid w:val="00463F47"/>
    <w:rsid w:val="00464DB6"/>
    <w:rsid w:val="00465299"/>
    <w:rsid w:val="00466A0F"/>
    <w:rsid w:val="0046795B"/>
    <w:rsid w:val="004708C0"/>
    <w:rsid w:val="004715CB"/>
    <w:rsid w:val="00471863"/>
    <w:rsid w:val="00472233"/>
    <w:rsid w:val="00473353"/>
    <w:rsid w:val="00473A14"/>
    <w:rsid w:val="00474CA8"/>
    <w:rsid w:val="00474E43"/>
    <w:rsid w:val="00475A4A"/>
    <w:rsid w:val="0048076D"/>
    <w:rsid w:val="00481A3B"/>
    <w:rsid w:val="00481C24"/>
    <w:rsid w:val="00481D90"/>
    <w:rsid w:val="00481E96"/>
    <w:rsid w:val="00482CD4"/>
    <w:rsid w:val="00483261"/>
    <w:rsid w:val="00484021"/>
    <w:rsid w:val="00485843"/>
    <w:rsid w:val="00485B23"/>
    <w:rsid w:val="0048630D"/>
    <w:rsid w:val="00486DAE"/>
    <w:rsid w:val="00486FF4"/>
    <w:rsid w:val="004874E4"/>
    <w:rsid w:val="0049070D"/>
    <w:rsid w:val="004914A9"/>
    <w:rsid w:val="00491BE4"/>
    <w:rsid w:val="00491DB2"/>
    <w:rsid w:val="00492877"/>
    <w:rsid w:val="0049639A"/>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4DAD"/>
    <w:rsid w:val="004B5E52"/>
    <w:rsid w:val="004B618D"/>
    <w:rsid w:val="004B7455"/>
    <w:rsid w:val="004B74FF"/>
    <w:rsid w:val="004B787C"/>
    <w:rsid w:val="004B7CE4"/>
    <w:rsid w:val="004C0066"/>
    <w:rsid w:val="004C0401"/>
    <w:rsid w:val="004C0981"/>
    <w:rsid w:val="004C0C49"/>
    <w:rsid w:val="004C183D"/>
    <w:rsid w:val="004C2669"/>
    <w:rsid w:val="004C396E"/>
    <w:rsid w:val="004C3AE2"/>
    <w:rsid w:val="004C3EC7"/>
    <w:rsid w:val="004C3EEE"/>
    <w:rsid w:val="004C483D"/>
    <w:rsid w:val="004C4EF9"/>
    <w:rsid w:val="004C6AB8"/>
    <w:rsid w:val="004C6C7D"/>
    <w:rsid w:val="004C795A"/>
    <w:rsid w:val="004C7F93"/>
    <w:rsid w:val="004D26B8"/>
    <w:rsid w:val="004D38C2"/>
    <w:rsid w:val="004D4FBD"/>
    <w:rsid w:val="004D4FC0"/>
    <w:rsid w:val="004D7DA8"/>
    <w:rsid w:val="004E2892"/>
    <w:rsid w:val="004E362B"/>
    <w:rsid w:val="004E3681"/>
    <w:rsid w:val="004E3CD0"/>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07CB8"/>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B88"/>
    <w:rsid w:val="00522F9D"/>
    <w:rsid w:val="00523E75"/>
    <w:rsid w:val="005243E0"/>
    <w:rsid w:val="00524454"/>
    <w:rsid w:val="005256F3"/>
    <w:rsid w:val="00525C15"/>
    <w:rsid w:val="005265A3"/>
    <w:rsid w:val="00526783"/>
    <w:rsid w:val="0052721C"/>
    <w:rsid w:val="005278FB"/>
    <w:rsid w:val="00527C99"/>
    <w:rsid w:val="00527FB1"/>
    <w:rsid w:val="005303CF"/>
    <w:rsid w:val="005314C5"/>
    <w:rsid w:val="0053162F"/>
    <w:rsid w:val="00531777"/>
    <w:rsid w:val="0053281C"/>
    <w:rsid w:val="00532D02"/>
    <w:rsid w:val="005340C9"/>
    <w:rsid w:val="00534EE8"/>
    <w:rsid w:val="00535F84"/>
    <w:rsid w:val="0053662A"/>
    <w:rsid w:val="005375FE"/>
    <w:rsid w:val="00540541"/>
    <w:rsid w:val="00540B5A"/>
    <w:rsid w:val="00541726"/>
    <w:rsid w:val="005420DE"/>
    <w:rsid w:val="00542249"/>
    <w:rsid w:val="005431F5"/>
    <w:rsid w:val="00543699"/>
    <w:rsid w:val="00543707"/>
    <w:rsid w:val="00543EBB"/>
    <w:rsid w:val="00544213"/>
    <w:rsid w:val="005453F3"/>
    <w:rsid w:val="00545549"/>
    <w:rsid w:val="00546312"/>
    <w:rsid w:val="005467DC"/>
    <w:rsid w:val="005469F5"/>
    <w:rsid w:val="00546A74"/>
    <w:rsid w:val="005518ED"/>
    <w:rsid w:val="00552093"/>
    <w:rsid w:val="00552309"/>
    <w:rsid w:val="00554E4B"/>
    <w:rsid w:val="0055531C"/>
    <w:rsid w:val="00555F67"/>
    <w:rsid w:val="00556605"/>
    <w:rsid w:val="00556C6D"/>
    <w:rsid w:val="00556CC5"/>
    <w:rsid w:val="0055797D"/>
    <w:rsid w:val="005601AC"/>
    <w:rsid w:val="005601F5"/>
    <w:rsid w:val="005606A4"/>
    <w:rsid w:val="005607B8"/>
    <w:rsid w:val="00560CF5"/>
    <w:rsid w:val="00562330"/>
    <w:rsid w:val="0056272D"/>
    <w:rsid w:val="00562BAB"/>
    <w:rsid w:val="0056308E"/>
    <w:rsid w:val="005638C1"/>
    <w:rsid w:val="0056415C"/>
    <w:rsid w:val="005649BF"/>
    <w:rsid w:val="005650ED"/>
    <w:rsid w:val="00565869"/>
    <w:rsid w:val="005660F0"/>
    <w:rsid w:val="00567415"/>
    <w:rsid w:val="00567610"/>
    <w:rsid w:val="00570D9F"/>
    <w:rsid w:val="00571CA8"/>
    <w:rsid w:val="005734C0"/>
    <w:rsid w:val="00573E71"/>
    <w:rsid w:val="00574BA6"/>
    <w:rsid w:val="005769DF"/>
    <w:rsid w:val="00580793"/>
    <w:rsid w:val="00581470"/>
    <w:rsid w:val="00581893"/>
    <w:rsid w:val="005819FC"/>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1730"/>
    <w:rsid w:val="005A2D6D"/>
    <w:rsid w:val="005A34D5"/>
    <w:rsid w:val="005A4904"/>
    <w:rsid w:val="005A4959"/>
    <w:rsid w:val="005A515A"/>
    <w:rsid w:val="005A6120"/>
    <w:rsid w:val="005A6BC4"/>
    <w:rsid w:val="005A704D"/>
    <w:rsid w:val="005A776F"/>
    <w:rsid w:val="005B1FF6"/>
    <w:rsid w:val="005B303B"/>
    <w:rsid w:val="005B3C6D"/>
    <w:rsid w:val="005B4045"/>
    <w:rsid w:val="005B45B6"/>
    <w:rsid w:val="005B49A7"/>
    <w:rsid w:val="005B4AEC"/>
    <w:rsid w:val="005B609E"/>
    <w:rsid w:val="005B6DF6"/>
    <w:rsid w:val="005B6EA6"/>
    <w:rsid w:val="005B780E"/>
    <w:rsid w:val="005B7B7D"/>
    <w:rsid w:val="005C1948"/>
    <w:rsid w:val="005C19A5"/>
    <w:rsid w:val="005C263C"/>
    <w:rsid w:val="005C2679"/>
    <w:rsid w:val="005C41D4"/>
    <w:rsid w:val="005C6206"/>
    <w:rsid w:val="005C6FAD"/>
    <w:rsid w:val="005D0079"/>
    <w:rsid w:val="005D059A"/>
    <w:rsid w:val="005D07AE"/>
    <w:rsid w:val="005D07C5"/>
    <w:rsid w:val="005D1478"/>
    <w:rsid w:val="005D1FF8"/>
    <w:rsid w:val="005D4213"/>
    <w:rsid w:val="005D4302"/>
    <w:rsid w:val="005D5A20"/>
    <w:rsid w:val="005D612D"/>
    <w:rsid w:val="005D6F3E"/>
    <w:rsid w:val="005D786C"/>
    <w:rsid w:val="005E00E5"/>
    <w:rsid w:val="005E049F"/>
    <w:rsid w:val="005E1588"/>
    <w:rsid w:val="005E3073"/>
    <w:rsid w:val="005E316A"/>
    <w:rsid w:val="005E5E1A"/>
    <w:rsid w:val="005E6C16"/>
    <w:rsid w:val="005E7117"/>
    <w:rsid w:val="005E746D"/>
    <w:rsid w:val="005F0108"/>
    <w:rsid w:val="005F0ECC"/>
    <w:rsid w:val="005F209C"/>
    <w:rsid w:val="005F21A5"/>
    <w:rsid w:val="005F2470"/>
    <w:rsid w:val="005F28C6"/>
    <w:rsid w:val="005F3F16"/>
    <w:rsid w:val="005F5241"/>
    <w:rsid w:val="005F52CC"/>
    <w:rsid w:val="005F5E6F"/>
    <w:rsid w:val="005F6BD4"/>
    <w:rsid w:val="005F77B0"/>
    <w:rsid w:val="005F7985"/>
    <w:rsid w:val="0060004D"/>
    <w:rsid w:val="00600CEB"/>
    <w:rsid w:val="006027CA"/>
    <w:rsid w:val="00602A84"/>
    <w:rsid w:val="00602AA1"/>
    <w:rsid w:val="00602B30"/>
    <w:rsid w:val="00603131"/>
    <w:rsid w:val="00604367"/>
    <w:rsid w:val="006044BE"/>
    <w:rsid w:val="0060475F"/>
    <w:rsid w:val="006060C2"/>
    <w:rsid w:val="00606A26"/>
    <w:rsid w:val="00606AC6"/>
    <w:rsid w:val="00606CC0"/>
    <w:rsid w:val="00607D81"/>
    <w:rsid w:val="00610747"/>
    <w:rsid w:val="00610E03"/>
    <w:rsid w:val="00610EC7"/>
    <w:rsid w:val="00610F80"/>
    <w:rsid w:val="0061176E"/>
    <w:rsid w:val="00612A14"/>
    <w:rsid w:val="0061417F"/>
    <w:rsid w:val="00614CD1"/>
    <w:rsid w:val="0061567B"/>
    <w:rsid w:val="00616921"/>
    <w:rsid w:val="0062152A"/>
    <w:rsid w:val="00621893"/>
    <w:rsid w:val="0062242B"/>
    <w:rsid w:val="00623583"/>
    <w:rsid w:val="0062462F"/>
    <w:rsid w:val="00624BA1"/>
    <w:rsid w:val="006257E9"/>
    <w:rsid w:val="0062661B"/>
    <w:rsid w:val="00626D80"/>
    <w:rsid w:val="00627717"/>
    <w:rsid w:val="00630118"/>
    <w:rsid w:val="006310AE"/>
    <w:rsid w:val="00631762"/>
    <w:rsid w:val="00632196"/>
    <w:rsid w:val="00632FD1"/>
    <w:rsid w:val="00633BF2"/>
    <w:rsid w:val="00633F67"/>
    <w:rsid w:val="006345C3"/>
    <w:rsid w:val="006362F9"/>
    <w:rsid w:val="006369A9"/>
    <w:rsid w:val="006373CD"/>
    <w:rsid w:val="0063747D"/>
    <w:rsid w:val="0064165D"/>
    <w:rsid w:val="00642913"/>
    <w:rsid w:val="006433BD"/>
    <w:rsid w:val="00643784"/>
    <w:rsid w:val="00644186"/>
    <w:rsid w:val="00644A21"/>
    <w:rsid w:val="006451D0"/>
    <w:rsid w:val="006452EE"/>
    <w:rsid w:val="00645C9F"/>
    <w:rsid w:val="00646305"/>
    <w:rsid w:val="006463D6"/>
    <w:rsid w:val="00646A6C"/>
    <w:rsid w:val="00646F20"/>
    <w:rsid w:val="006475E6"/>
    <w:rsid w:val="006508B9"/>
    <w:rsid w:val="00650CA1"/>
    <w:rsid w:val="0065150E"/>
    <w:rsid w:val="00651854"/>
    <w:rsid w:val="006539E8"/>
    <w:rsid w:val="006561A2"/>
    <w:rsid w:val="006563F3"/>
    <w:rsid w:val="006565D8"/>
    <w:rsid w:val="00656B96"/>
    <w:rsid w:val="00656CF4"/>
    <w:rsid w:val="0065736B"/>
    <w:rsid w:val="00657AE5"/>
    <w:rsid w:val="006619B0"/>
    <w:rsid w:val="00661B9B"/>
    <w:rsid w:val="00662012"/>
    <w:rsid w:val="00662543"/>
    <w:rsid w:val="006626D0"/>
    <w:rsid w:val="00662D4C"/>
    <w:rsid w:val="00664E8C"/>
    <w:rsid w:val="006650D3"/>
    <w:rsid w:val="00665138"/>
    <w:rsid w:val="0066528A"/>
    <w:rsid w:val="00665F7C"/>
    <w:rsid w:val="0066699A"/>
    <w:rsid w:val="00666DFC"/>
    <w:rsid w:val="00666EBB"/>
    <w:rsid w:val="00666F7A"/>
    <w:rsid w:val="00667385"/>
    <w:rsid w:val="0066779E"/>
    <w:rsid w:val="00667C28"/>
    <w:rsid w:val="0067269D"/>
    <w:rsid w:val="00672988"/>
    <w:rsid w:val="00672AEA"/>
    <w:rsid w:val="00672C64"/>
    <w:rsid w:val="00674E6A"/>
    <w:rsid w:val="00675266"/>
    <w:rsid w:val="0067661A"/>
    <w:rsid w:val="00676A64"/>
    <w:rsid w:val="00677925"/>
    <w:rsid w:val="00680F46"/>
    <w:rsid w:val="00681F5B"/>
    <w:rsid w:val="00681FDC"/>
    <w:rsid w:val="0068251F"/>
    <w:rsid w:val="006829E8"/>
    <w:rsid w:val="00682A0C"/>
    <w:rsid w:val="00682B53"/>
    <w:rsid w:val="00682F27"/>
    <w:rsid w:val="0069011A"/>
    <w:rsid w:val="00690E2E"/>
    <w:rsid w:val="006915D7"/>
    <w:rsid w:val="00692078"/>
    <w:rsid w:val="00692814"/>
    <w:rsid w:val="0069320E"/>
    <w:rsid w:val="006932E7"/>
    <w:rsid w:val="00693347"/>
    <w:rsid w:val="0069334C"/>
    <w:rsid w:val="00696D63"/>
    <w:rsid w:val="0069729C"/>
    <w:rsid w:val="006A032F"/>
    <w:rsid w:val="006A41AE"/>
    <w:rsid w:val="006A4856"/>
    <w:rsid w:val="006A530D"/>
    <w:rsid w:val="006A564B"/>
    <w:rsid w:val="006A5CBF"/>
    <w:rsid w:val="006A7EE9"/>
    <w:rsid w:val="006B0386"/>
    <w:rsid w:val="006B08CF"/>
    <w:rsid w:val="006B0B90"/>
    <w:rsid w:val="006B1545"/>
    <w:rsid w:val="006B2DA7"/>
    <w:rsid w:val="006B2F4D"/>
    <w:rsid w:val="006B3682"/>
    <w:rsid w:val="006B48CB"/>
    <w:rsid w:val="006B4FE8"/>
    <w:rsid w:val="006B4FF0"/>
    <w:rsid w:val="006B715C"/>
    <w:rsid w:val="006B7CE0"/>
    <w:rsid w:val="006C08C5"/>
    <w:rsid w:val="006C0DB6"/>
    <w:rsid w:val="006C105D"/>
    <w:rsid w:val="006C1445"/>
    <w:rsid w:val="006C2A59"/>
    <w:rsid w:val="006C3959"/>
    <w:rsid w:val="006C4FC1"/>
    <w:rsid w:val="006C51A5"/>
    <w:rsid w:val="006C524F"/>
    <w:rsid w:val="006C529D"/>
    <w:rsid w:val="006C5670"/>
    <w:rsid w:val="006C58B2"/>
    <w:rsid w:val="006C65A1"/>
    <w:rsid w:val="006C7B01"/>
    <w:rsid w:val="006C7CC9"/>
    <w:rsid w:val="006C7CFC"/>
    <w:rsid w:val="006D0E6B"/>
    <w:rsid w:val="006D1073"/>
    <w:rsid w:val="006D2146"/>
    <w:rsid w:val="006D2D0B"/>
    <w:rsid w:val="006D632E"/>
    <w:rsid w:val="006D6444"/>
    <w:rsid w:val="006D668E"/>
    <w:rsid w:val="006E094A"/>
    <w:rsid w:val="006E12B1"/>
    <w:rsid w:val="006E13D1"/>
    <w:rsid w:val="006E1A08"/>
    <w:rsid w:val="006E26D3"/>
    <w:rsid w:val="006E283E"/>
    <w:rsid w:val="006E2A4B"/>
    <w:rsid w:val="006E4D0C"/>
    <w:rsid w:val="006E4D1B"/>
    <w:rsid w:val="006E5B78"/>
    <w:rsid w:val="006E6BA3"/>
    <w:rsid w:val="006E6F9C"/>
    <w:rsid w:val="006F01EB"/>
    <w:rsid w:val="006F1116"/>
    <w:rsid w:val="006F3196"/>
    <w:rsid w:val="006F3C54"/>
    <w:rsid w:val="006F5E64"/>
    <w:rsid w:val="006F60DE"/>
    <w:rsid w:val="006F77FE"/>
    <w:rsid w:val="006F7914"/>
    <w:rsid w:val="006F7E46"/>
    <w:rsid w:val="00700AB4"/>
    <w:rsid w:val="00700FCA"/>
    <w:rsid w:val="007012A7"/>
    <w:rsid w:val="00701645"/>
    <w:rsid w:val="007022F2"/>
    <w:rsid w:val="00702C80"/>
    <w:rsid w:val="00702D5A"/>
    <w:rsid w:val="00702EF7"/>
    <w:rsid w:val="00703989"/>
    <w:rsid w:val="007042E9"/>
    <w:rsid w:val="0070687A"/>
    <w:rsid w:val="00707399"/>
    <w:rsid w:val="00710393"/>
    <w:rsid w:val="0071118B"/>
    <w:rsid w:val="00711E13"/>
    <w:rsid w:val="00712EDA"/>
    <w:rsid w:val="007136D0"/>
    <w:rsid w:val="007155A9"/>
    <w:rsid w:val="007158E1"/>
    <w:rsid w:val="0071705B"/>
    <w:rsid w:val="00720505"/>
    <w:rsid w:val="007236A3"/>
    <w:rsid w:val="007239B6"/>
    <w:rsid w:val="0072490A"/>
    <w:rsid w:val="0072517D"/>
    <w:rsid w:val="0072558B"/>
    <w:rsid w:val="00726878"/>
    <w:rsid w:val="00730A68"/>
    <w:rsid w:val="0073124A"/>
    <w:rsid w:val="00731B79"/>
    <w:rsid w:val="00731EFA"/>
    <w:rsid w:val="007331CE"/>
    <w:rsid w:val="00733893"/>
    <w:rsid w:val="00734A05"/>
    <w:rsid w:val="00735C6F"/>
    <w:rsid w:val="007408D5"/>
    <w:rsid w:val="007424EF"/>
    <w:rsid w:val="00742B44"/>
    <w:rsid w:val="007440FE"/>
    <w:rsid w:val="0074655A"/>
    <w:rsid w:val="007469B7"/>
    <w:rsid w:val="00746C78"/>
    <w:rsid w:val="00751B94"/>
    <w:rsid w:val="00753BB5"/>
    <w:rsid w:val="00756832"/>
    <w:rsid w:val="007568FC"/>
    <w:rsid w:val="007626D0"/>
    <w:rsid w:val="007651CA"/>
    <w:rsid w:val="00767269"/>
    <w:rsid w:val="00767519"/>
    <w:rsid w:val="00767EE3"/>
    <w:rsid w:val="007704E1"/>
    <w:rsid w:val="00772569"/>
    <w:rsid w:val="00772E8C"/>
    <w:rsid w:val="007736D3"/>
    <w:rsid w:val="00773B54"/>
    <w:rsid w:val="0077500F"/>
    <w:rsid w:val="0077548E"/>
    <w:rsid w:val="00777315"/>
    <w:rsid w:val="00777387"/>
    <w:rsid w:val="007802CC"/>
    <w:rsid w:val="007802E4"/>
    <w:rsid w:val="00780919"/>
    <w:rsid w:val="00781A0F"/>
    <w:rsid w:val="007825F0"/>
    <w:rsid w:val="007826C8"/>
    <w:rsid w:val="00782972"/>
    <w:rsid w:val="00783ACA"/>
    <w:rsid w:val="00784190"/>
    <w:rsid w:val="0078457B"/>
    <w:rsid w:val="00784756"/>
    <w:rsid w:val="0078539D"/>
    <w:rsid w:val="007856C1"/>
    <w:rsid w:val="00786ED1"/>
    <w:rsid w:val="00787051"/>
    <w:rsid w:val="0079018D"/>
    <w:rsid w:val="00791A00"/>
    <w:rsid w:val="00791DBA"/>
    <w:rsid w:val="00791DC7"/>
    <w:rsid w:val="00792CEE"/>
    <w:rsid w:val="00794E92"/>
    <w:rsid w:val="0079656A"/>
    <w:rsid w:val="00796D86"/>
    <w:rsid w:val="00796F15"/>
    <w:rsid w:val="007A138F"/>
    <w:rsid w:val="007A1640"/>
    <w:rsid w:val="007A36F5"/>
    <w:rsid w:val="007A3723"/>
    <w:rsid w:val="007A39DF"/>
    <w:rsid w:val="007A3A7F"/>
    <w:rsid w:val="007A43ED"/>
    <w:rsid w:val="007A4920"/>
    <w:rsid w:val="007A4997"/>
    <w:rsid w:val="007A4BDD"/>
    <w:rsid w:val="007A6881"/>
    <w:rsid w:val="007A72EE"/>
    <w:rsid w:val="007B0397"/>
    <w:rsid w:val="007B3502"/>
    <w:rsid w:val="007B44ED"/>
    <w:rsid w:val="007B491A"/>
    <w:rsid w:val="007B5370"/>
    <w:rsid w:val="007B6123"/>
    <w:rsid w:val="007B61F5"/>
    <w:rsid w:val="007B63FA"/>
    <w:rsid w:val="007B6E1B"/>
    <w:rsid w:val="007B7496"/>
    <w:rsid w:val="007B7AF5"/>
    <w:rsid w:val="007B7D52"/>
    <w:rsid w:val="007C0802"/>
    <w:rsid w:val="007C12BE"/>
    <w:rsid w:val="007C2739"/>
    <w:rsid w:val="007C4B0F"/>
    <w:rsid w:val="007C4DA2"/>
    <w:rsid w:val="007C4DAD"/>
    <w:rsid w:val="007C501D"/>
    <w:rsid w:val="007C5830"/>
    <w:rsid w:val="007C5DB8"/>
    <w:rsid w:val="007C6CA2"/>
    <w:rsid w:val="007D05B2"/>
    <w:rsid w:val="007D0C44"/>
    <w:rsid w:val="007D1972"/>
    <w:rsid w:val="007D1F33"/>
    <w:rsid w:val="007D1F44"/>
    <w:rsid w:val="007D2146"/>
    <w:rsid w:val="007D24BF"/>
    <w:rsid w:val="007D2BBA"/>
    <w:rsid w:val="007D3307"/>
    <w:rsid w:val="007D432A"/>
    <w:rsid w:val="007D5884"/>
    <w:rsid w:val="007D5A88"/>
    <w:rsid w:val="007D5E27"/>
    <w:rsid w:val="007D6F64"/>
    <w:rsid w:val="007D752A"/>
    <w:rsid w:val="007E12FD"/>
    <w:rsid w:val="007E25AB"/>
    <w:rsid w:val="007E2C70"/>
    <w:rsid w:val="007E44B2"/>
    <w:rsid w:val="007E45BC"/>
    <w:rsid w:val="007E5AC2"/>
    <w:rsid w:val="007E69FB"/>
    <w:rsid w:val="007E79C5"/>
    <w:rsid w:val="007F0036"/>
    <w:rsid w:val="007F0C94"/>
    <w:rsid w:val="007F143A"/>
    <w:rsid w:val="007F2845"/>
    <w:rsid w:val="007F43BC"/>
    <w:rsid w:val="007F43C1"/>
    <w:rsid w:val="007F4740"/>
    <w:rsid w:val="007F5CEB"/>
    <w:rsid w:val="007F6202"/>
    <w:rsid w:val="007F6DF2"/>
    <w:rsid w:val="007F7E1D"/>
    <w:rsid w:val="008006C6"/>
    <w:rsid w:val="00800C52"/>
    <w:rsid w:val="00800FE1"/>
    <w:rsid w:val="0080153E"/>
    <w:rsid w:val="00805093"/>
    <w:rsid w:val="00805533"/>
    <w:rsid w:val="0080742D"/>
    <w:rsid w:val="008100AC"/>
    <w:rsid w:val="008114D3"/>
    <w:rsid w:val="0081151E"/>
    <w:rsid w:val="00812498"/>
    <w:rsid w:val="0081263E"/>
    <w:rsid w:val="008127E6"/>
    <w:rsid w:val="0081336E"/>
    <w:rsid w:val="00813928"/>
    <w:rsid w:val="008156B2"/>
    <w:rsid w:val="00816BA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13B2"/>
    <w:rsid w:val="00832918"/>
    <w:rsid w:val="00833065"/>
    <w:rsid w:val="0083350F"/>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9B7"/>
    <w:rsid w:val="00862B2A"/>
    <w:rsid w:val="00862BFF"/>
    <w:rsid w:val="008630B9"/>
    <w:rsid w:val="00863F37"/>
    <w:rsid w:val="0086406B"/>
    <w:rsid w:val="00864C8C"/>
    <w:rsid w:val="00867651"/>
    <w:rsid w:val="008704A9"/>
    <w:rsid w:val="00870D04"/>
    <w:rsid w:val="0087121B"/>
    <w:rsid w:val="008714B6"/>
    <w:rsid w:val="0087238A"/>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7F8"/>
    <w:rsid w:val="0088583D"/>
    <w:rsid w:val="00885876"/>
    <w:rsid w:val="00886185"/>
    <w:rsid w:val="008861D9"/>
    <w:rsid w:val="0088638C"/>
    <w:rsid w:val="00886EDF"/>
    <w:rsid w:val="008877E0"/>
    <w:rsid w:val="008908E5"/>
    <w:rsid w:val="00891216"/>
    <w:rsid w:val="00894FDC"/>
    <w:rsid w:val="008A16F9"/>
    <w:rsid w:val="008A1D3E"/>
    <w:rsid w:val="008A378A"/>
    <w:rsid w:val="008A4B16"/>
    <w:rsid w:val="008A4D63"/>
    <w:rsid w:val="008A6D62"/>
    <w:rsid w:val="008B13E9"/>
    <w:rsid w:val="008B360E"/>
    <w:rsid w:val="008B3B51"/>
    <w:rsid w:val="008B4057"/>
    <w:rsid w:val="008B4145"/>
    <w:rsid w:val="008B4CAC"/>
    <w:rsid w:val="008B5290"/>
    <w:rsid w:val="008C2CFD"/>
    <w:rsid w:val="008C57D6"/>
    <w:rsid w:val="008C603A"/>
    <w:rsid w:val="008C71C8"/>
    <w:rsid w:val="008C7A67"/>
    <w:rsid w:val="008D167D"/>
    <w:rsid w:val="008D261F"/>
    <w:rsid w:val="008D492A"/>
    <w:rsid w:val="008D4B58"/>
    <w:rsid w:val="008D4B8A"/>
    <w:rsid w:val="008D4D01"/>
    <w:rsid w:val="008D6541"/>
    <w:rsid w:val="008D67AD"/>
    <w:rsid w:val="008D7D7B"/>
    <w:rsid w:val="008E0F52"/>
    <w:rsid w:val="008E2316"/>
    <w:rsid w:val="008E34BE"/>
    <w:rsid w:val="008E42F4"/>
    <w:rsid w:val="008E5307"/>
    <w:rsid w:val="008E5657"/>
    <w:rsid w:val="008E5E51"/>
    <w:rsid w:val="008E6220"/>
    <w:rsid w:val="008E721F"/>
    <w:rsid w:val="008E7D63"/>
    <w:rsid w:val="008F00DB"/>
    <w:rsid w:val="008F110E"/>
    <w:rsid w:val="008F1264"/>
    <w:rsid w:val="008F38FE"/>
    <w:rsid w:val="008F47C6"/>
    <w:rsid w:val="008F4CF7"/>
    <w:rsid w:val="008F4EDF"/>
    <w:rsid w:val="008F5948"/>
    <w:rsid w:val="008F7E83"/>
    <w:rsid w:val="00900093"/>
    <w:rsid w:val="009006A2"/>
    <w:rsid w:val="0090102B"/>
    <w:rsid w:val="00901448"/>
    <w:rsid w:val="00901AD6"/>
    <w:rsid w:val="009026AD"/>
    <w:rsid w:val="009036BC"/>
    <w:rsid w:val="00903AFB"/>
    <w:rsid w:val="00905C47"/>
    <w:rsid w:val="00906379"/>
    <w:rsid w:val="0090638B"/>
    <w:rsid w:val="00906393"/>
    <w:rsid w:val="00907086"/>
    <w:rsid w:val="009101EA"/>
    <w:rsid w:val="009106FC"/>
    <w:rsid w:val="0091090F"/>
    <w:rsid w:val="009118BB"/>
    <w:rsid w:val="0091191F"/>
    <w:rsid w:val="00912A2F"/>
    <w:rsid w:val="0091467E"/>
    <w:rsid w:val="009148F3"/>
    <w:rsid w:val="00915B81"/>
    <w:rsid w:val="00915D6B"/>
    <w:rsid w:val="009160DF"/>
    <w:rsid w:val="009162C7"/>
    <w:rsid w:val="00916EC2"/>
    <w:rsid w:val="009178BD"/>
    <w:rsid w:val="009213BD"/>
    <w:rsid w:val="00922DC3"/>
    <w:rsid w:val="00923AFA"/>
    <w:rsid w:val="00924627"/>
    <w:rsid w:val="009250A8"/>
    <w:rsid w:val="009255BA"/>
    <w:rsid w:val="00925BE6"/>
    <w:rsid w:val="0092658D"/>
    <w:rsid w:val="00926F61"/>
    <w:rsid w:val="00927ED5"/>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7A5"/>
    <w:rsid w:val="009449B2"/>
    <w:rsid w:val="00944A82"/>
    <w:rsid w:val="00946C4D"/>
    <w:rsid w:val="009471B7"/>
    <w:rsid w:val="009502A9"/>
    <w:rsid w:val="0095285B"/>
    <w:rsid w:val="00953FE9"/>
    <w:rsid w:val="0095436C"/>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598"/>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9AA"/>
    <w:rsid w:val="00997CF4"/>
    <w:rsid w:val="009A1169"/>
    <w:rsid w:val="009A1AAC"/>
    <w:rsid w:val="009A3789"/>
    <w:rsid w:val="009A4860"/>
    <w:rsid w:val="009A54F4"/>
    <w:rsid w:val="009A5E99"/>
    <w:rsid w:val="009A6919"/>
    <w:rsid w:val="009A6AC7"/>
    <w:rsid w:val="009A6CC2"/>
    <w:rsid w:val="009A7831"/>
    <w:rsid w:val="009B0408"/>
    <w:rsid w:val="009B0843"/>
    <w:rsid w:val="009B112A"/>
    <w:rsid w:val="009B1E47"/>
    <w:rsid w:val="009B20D0"/>
    <w:rsid w:val="009B2CED"/>
    <w:rsid w:val="009B345D"/>
    <w:rsid w:val="009B429F"/>
    <w:rsid w:val="009B5A4D"/>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70DB"/>
    <w:rsid w:val="009D0E75"/>
    <w:rsid w:val="009D19BC"/>
    <w:rsid w:val="009D2348"/>
    <w:rsid w:val="009D2F0C"/>
    <w:rsid w:val="009D3578"/>
    <w:rsid w:val="009D3A5F"/>
    <w:rsid w:val="009D3EF3"/>
    <w:rsid w:val="009D5193"/>
    <w:rsid w:val="009D5C32"/>
    <w:rsid w:val="009D6472"/>
    <w:rsid w:val="009D79F4"/>
    <w:rsid w:val="009E2B4C"/>
    <w:rsid w:val="009E308C"/>
    <w:rsid w:val="009E3CD1"/>
    <w:rsid w:val="009E4AB3"/>
    <w:rsid w:val="009E5AF5"/>
    <w:rsid w:val="009E5EB5"/>
    <w:rsid w:val="009E74F0"/>
    <w:rsid w:val="009E7B9B"/>
    <w:rsid w:val="009F0768"/>
    <w:rsid w:val="009F7867"/>
    <w:rsid w:val="009F7D66"/>
    <w:rsid w:val="00A00BD2"/>
    <w:rsid w:val="00A00E56"/>
    <w:rsid w:val="00A01C99"/>
    <w:rsid w:val="00A02710"/>
    <w:rsid w:val="00A027F3"/>
    <w:rsid w:val="00A02CDB"/>
    <w:rsid w:val="00A02FAD"/>
    <w:rsid w:val="00A03978"/>
    <w:rsid w:val="00A05DF3"/>
    <w:rsid w:val="00A05F1A"/>
    <w:rsid w:val="00A0670C"/>
    <w:rsid w:val="00A0689F"/>
    <w:rsid w:val="00A07759"/>
    <w:rsid w:val="00A07E08"/>
    <w:rsid w:val="00A12798"/>
    <w:rsid w:val="00A12B08"/>
    <w:rsid w:val="00A153BE"/>
    <w:rsid w:val="00A15DEE"/>
    <w:rsid w:val="00A15EB2"/>
    <w:rsid w:val="00A167B5"/>
    <w:rsid w:val="00A168A6"/>
    <w:rsid w:val="00A16DBE"/>
    <w:rsid w:val="00A17159"/>
    <w:rsid w:val="00A17C4F"/>
    <w:rsid w:val="00A20653"/>
    <w:rsid w:val="00A20A39"/>
    <w:rsid w:val="00A20D07"/>
    <w:rsid w:val="00A21013"/>
    <w:rsid w:val="00A21679"/>
    <w:rsid w:val="00A2190A"/>
    <w:rsid w:val="00A22681"/>
    <w:rsid w:val="00A238BD"/>
    <w:rsid w:val="00A23DA4"/>
    <w:rsid w:val="00A243E4"/>
    <w:rsid w:val="00A2459D"/>
    <w:rsid w:val="00A24E23"/>
    <w:rsid w:val="00A25F05"/>
    <w:rsid w:val="00A264BE"/>
    <w:rsid w:val="00A311AE"/>
    <w:rsid w:val="00A312A6"/>
    <w:rsid w:val="00A3130E"/>
    <w:rsid w:val="00A324CF"/>
    <w:rsid w:val="00A3295D"/>
    <w:rsid w:val="00A32E8B"/>
    <w:rsid w:val="00A32ED6"/>
    <w:rsid w:val="00A344A5"/>
    <w:rsid w:val="00A346C3"/>
    <w:rsid w:val="00A34ACA"/>
    <w:rsid w:val="00A42D07"/>
    <w:rsid w:val="00A450C0"/>
    <w:rsid w:val="00A45468"/>
    <w:rsid w:val="00A455F8"/>
    <w:rsid w:val="00A4791B"/>
    <w:rsid w:val="00A50A48"/>
    <w:rsid w:val="00A51242"/>
    <w:rsid w:val="00A51312"/>
    <w:rsid w:val="00A51522"/>
    <w:rsid w:val="00A51573"/>
    <w:rsid w:val="00A51A5E"/>
    <w:rsid w:val="00A52895"/>
    <w:rsid w:val="00A53DA0"/>
    <w:rsid w:val="00A55350"/>
    <w:rsid w:val="00A5765D"/>
    <w:rsid w:val="00A607CB"/>
    <w:rsid w:val="00A6351F"/>
    <w:rsid w:val="00A65A70"/>
    <w:rsid w:val="00A66F36"/>
    <w:rsid w:val="00A676D9"/>
    <w:rsid w:val="00A67EFC"/>
    <w:rsid w:val="00A7031E"/>
    <w:rsid w:val="00A71140"/>
    <w:rsid w:val="00A71DC7"/>
    <w:rsid w:val="00A72B7B"/>
    <w:rsid w:val="00A72E6D"/>
    <w:rsid w:val="00A7354E"/>
    <w:rsid w:val="00A73790"/>
    <w:rsid w:val="00A73917"/>
    <w:rsid w:val="00A73C9A"/>
    <w:rsid w:val="00A74692"/>
    <w:rsid w:val="00A75726"/>
    <w:rsid w:val="00A7618B"/>
    <w:rsid w:val="00A7640B"/>
    <w:rsid w:val="00A7778B"/>
    <w:rsid w:val="00A803BC"/>
    <w:rsid w:val="00A80969"/>
    <w:rsid w:val="00A84805"/>
    <w:rsid w:val="00A858C5"/>
    <w:rsid w:val="00A86EA7"/>
    <w:rsid w:val="00A91244"/>
    <w:rsid w:val="00A91778"/>
    <w:rsid w:val="00A91AA1"/>
    <w:rsid w:val="00A922AA"/>
    <w:rsid w:val="00A92776"/>
    <w:rsid w:val="00A93181"/>
    <w:rsid w:val="00A938E6"/>
    <w:rsid w:val="00A93CCF"/>
    <w:rsid w:val="00A95BD5"/>
    <w:rsid w:val="00A96F78"/>
    <w:rsid w:val="00AA1087"/>
    <w:rsid w:val="00AA25A9"/>
    <w:rsid w:val="00AA26D9"/>
    <w:rsid w:val="00AA3DEA"/>
    <w:rsid w:val="00AA4759"/>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C3"/>
    <w:rsid w:val="00AC60B4"/>
    <w:rsid w:val="00AD00C5"/>
    <w:rsid w:val="00AD165F"/>
    <w:rsid w:val="00AD1CEB"/>
    <w:rsid w:val="00AD2794"/>
    <w:rsid w:val="00AD2B9F"/>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0DC"/>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5D28"/>
    <w:rsid w:val="00B06DD9"/>
    <w:rsid w:val="00B06F15"/>
    <w:rsid w:val="00B07CD6"/>
    <w:rsid w:val="00B07E52"/>
    <w:rsid w:val="00B10010"/>
    <w:rsid w:val="00B11775"/>
    <w:rsid w:val="00B12632"/>
    <w:rsid w:val="00B12660"/>
    <w:rsid w:val="00B12F5F"/>
    <w:rsid w:val="00B1302D"/>
    <w:rsid w:val="00B145F4"/>
    <w:rsid w:val="00B149A6"/>
    <w:rsid w:val="00B1513F"/>
    <w:rsid w:val="00B15B31"/>
    <w:rsid w:val="00B15B89"/>
    <w:rsid w:val="00B1691B"/>
    <w:rsid w:val="00B171F5"/>
    <w:rsid w:val="00B1746F"/>
    <w:rsid w:val="00B17EA8"/>
    <w:rsid w:val="00B20725"/>
    <w:rsid w:val="00B20B94"/>
    <w:rsid w:val="00B2506B"/>
    <w:rsid w:val="00B2628E"/>
    <w:rsid w:val="00B26611"/>
    <w:rsid w:val="00B266B0"/>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1BB0"/>
    <w:rsid w:val="00B5239C"/>
    <w:rsid w:val="00B52C39"/>
    <w:rsid w:val="00B52E62"/>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223"/>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E2A"/>
    <w:rsid w:val="00B90F2A"/>
    <w:rsid w:val="00B9198D"/>
    <w:rsid w:val="00B926CB"/>
    <w:rsid w:val="00B93008"/>
    <w:rsid w:val="00B94025"/>
    <w:rsid w:val="00B9406D"/>
    <w:rsid w:val="00B94BA7"/>
    <w:rsid w:val="00B94BE9"/>
    <w:rsid w:val="00B94E0E"/>
    <w:rsid w:val="00B97CA3"/>
    <w:rsid w:val="00BA2B80"/>
    <w:rsid w:val="00BA3D7B"/>
    <w:rsid w:val="00BA76A9"/>
    <w:rsid w:val="00BB3E2B"/>
    <w:rsid w:val="00BB3FBA"/>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A66"/>
    <w:rsid w:val="00BD3E68"/>
    <w:rsid w:val="00BD504A"/>
    <w:rsid w:val="00BD598A"/>
    <w:rsid w:val="00BD5D21"/>
    <w:rsid w:val="00BD75B4"/>
    <w:rsid w:val="00BD7BFE"/>
    <w:rsid w:val="00BD7D14"/>
    <w:rsid w:val="00BE02B4"/>
    <w:rsid w:val="00BE0A4E"/>
    <w:rsid w:val="00BE1553"/>
    <w:rsid w:val="00BE19DC"/>
    <w:rsid w:val="00BE2010"/>
    <w:rsid w:val="00BE41EC"/>
    <w:rsid w:val="00BE4EC9"/>
    <w:rsid w:val="00BE56B1"/>
    <w:rsid w:val="00BE631E"/>
    <w:rsid w:val="00BE71F7"/>
    <w:rsid w:val="00BF0CCF"/>
    <w:rsid w:val="00BF0FC5"/>
    <w:rsid w:val="00BF10BC"/>
    <w:rsid w:val="00BF21AC"/>
    <w:rsid w:val="00BF22E7"/>
    <w:rsid w:val="00BF2E53"/>
    <w:rsid w:val="00BF3133"/>
    <w:rsid w:val="00BF3669"/>
    <w:rsid w:val="00BF3C0D"/>
    <w:rsid w:val="00BF711C"/>
    <w:rsid w:val="00BF7C74"/>
    <w:rsid w:val="00C00412"/>
    <w:rsid w:val="00C00ED8"/>
    <w:rsid w:val="00C03309"/>
    <w:rsid w:val="00C03452"/>
    <w:rsid w:val="00C04BD4"/>
    <w:rsid w:val="00C067D5"/>
    <w:rsid w:val="00C072FE"/>
    <w:rsid w:val="00C12E39"/>
    <w:rsid w:val="00C13DA5"/>
    <w:rsid w:val="00C14164"/>
    <w:rsid w:val="00C15D8E"/>
    <w:rsid w:val="00C17012"/>
    <w:rsid w:val="00C178FB"/>
    <w:rsid w:val="00C17FDC"/>
    <w:rsid w:val="00C204AA"/>
    <w:rsid w:val="00C22B28"/>
    <w:rsid w:val="00C22B5A"/>
    <w:rsid w:val="00C23E6D"/>
    <w:rsid w:val="00C247BF"/>
    <w:rsid w:val="00C257B7"/>
    <w:rsid w:val="00C27265"/>
    <w:rsid w:val="00C272E8"/>
    <w:rsid w:val="00C311EC"/>
    <w:rsid w:val="00C33359"/>
    <w:rsid w:val="00C348D6"/>
    <w:rsid w:val="00C365E7"/>
    <w:rsid w:val="00C36E34"/>
    <w:rsid w:val="00C37806"/>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4010"/>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4964"/>
    <w:rsid w:val="00C6528C"/>
    <w:rsid w:val="00C661E8"/>
    <w:rsid w:val="00C663A8"/>
    <w:rsid w:val="00C6648F"/>
    <w:rsid w:val="00C66C26"/>
    <w:rsid w:val="00C66D27"/>
    <w:rsid w:val="00C66E69"/>
    <w:rsid w:val="00C67BC7"/>
    <w:rsid w:val="00C70084"/>
    <w:rsid w:val="00C71499"/>
    <w:rsid w:val="00C7235B"/>
    <w:rsid w:val="00C725B1"/>
    <w:rsid w:val="00C72E18"/>
    <w:rsid w:val="00C731AD"/>
    <w:rsid w:val="00C73379"/>
    <w:rsid w:val="00C7380B"/>
    <w:rsid w:val="00C74421"/>
    <w:rsid w:val="00C7542D"/>
    <w:rsid w:val="00C75F2F"/>
    <w:rsid w:val="00C75FEE"/>
    <w:rsid w:val="00C76F1D"/>
    <w:rsid w:val="00C77D26"/>
    <w:rsid w:val="00C80BDF"/>
    <w:rsid w:val="00C8372C"/>
    <w:rsid w:val="00C84D39"/>
    <w:rsid w:val="00C85277"/>
    <w:rsid w:val="00C85556"/>
    <w:rsid w:val="00C85D76"/>
    <w:rsid w:val="00C864D4"/>
    <w:rsid w:val="00C873AC"/>
    <w:rsid w:val="00C87B1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D5"/>
    <w:rsid w:val="00CA74C4"/>
    <w:rsid w:val="00CB09DA"/>
    <w:rsid w:val="00CB0BD9"/>
    <w:rsid w:val="00CB1B90"/>
    <w:rsid w:val="00CB1CAC"/>
    <w:rsid w:val="00CB1D87"/>
    <w:rsid w:val="00CB1DE8"/>
    <w:rsid w:val="00CB1E3B"/>
    <w:rsid w:val="00CB1F1D"/>
    <w:rsid w:val="00CB3C8E"/>
    <w:rsid w:val="00CB4212"/>
    <w:rsid w:val="00CB45BC"/>
    <w:rsid w:val="00CB4C59"/>
    <w:rsid w:val="00CB600D"/>
    <w:rsid w:val="00CB71F8"/>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7DA"/>
    <w:rsid w:val="00CD3CBE"/>
    <w:rsid w:val="00CD3ED8"/>
    <w:rsid w:val="00CD6190"/>
    <w:rsid w:val="00CD736C"/>
    <w:rsid w:val="00CD761D"/>
    <w:rsid w:val="00CD76B5"/>
    <w:rsid w:val="00CE1757"/>
    <w:rsid w:val="00CE2346"/>
    <w:rsid w:val="00CE2B02"/>
    <w:rsid w:val="00CE3B50"/>
    <w:rsid w:val="00CE4F2D"/>
    <w:rsid w:val="00CE6DB7"/>
    <w:rsid w:val="00CE6F0F"/>
    <w:rsid w:val="00CE7B49"/>
    <w:rsid w:val="00CE7C7C"/>
    <w:rsid w:val="00CF002F"/>
    <w:rsid w:val="00CF0246"/>
    <w:rsid w:val="00CF0C02"/>
    <w:rsid w:val="00CF10F2"/>
    <w:rsid w:val="00CF1899"/>
    <w:rsid w:val="00CF2483"/>
    <w:rsid w:val="00CF24E2"/>
    <w:rsid w:val="00CF321D"/>
    <w:rsid w:val="00CF393D"/>
    <w:rsid w:val="00CF4ABD"/>
    <w:rsid w:val="00CF4B18"/>
    <w:rsid w:val="00CF5A53"/>
    <w:rsid w:val="00CF5D28"/>
    <w:rsid w:val="00CF66E9"/>
    <w:rsid w:val="00CF6942"/>
    <w:rsid w:val="00CF6F1E"/>
    <w:rsid w:val="00D001F9"/>
    <w:rsid w:val="00D0036E"/>
    <w:rsid w:val="00D00BB7"/>
    <w:rsid w:val="00D01EAD"/>
    <w:rsid w:val="00D02C62"/>
    <w:rsid w:val="00D035B9"/>
    <w:rsid w:val="00D05C04"/>
    <w:rsid w:val="00D060FF"/>
    <w:rsid w:val="00D064E8"/>
    <w:rsid w:val="00D06572"/>
    <w:rsid w:val="00D065CD"/>
    <w:rsid w:val="00D07D93"/>
    <w:rsid w:val="00D11FA6"/>
    <w:rsid w:val="00D12325"/>
    <w:rsid w:val="00D14487"/>
    <w:rsid w:val="00D14DBB"/>
    <w:rsid w:val="00D15E7E"/>
    <w:rsid w:val="00D162EF"/>
    <w:rsid w:val="00D17D32"/>
    <w:rsid w:val="00D20016"/>
    <w:rsid w:val="00D207A7"/>
    <w:rsid w:val="00D20CD6"/>
    <w:rsid w:val="00D20E00"/>
    <w:rsid w:val="00D21005"/>
    <w:rsid w:val="00D21771"/>
    <w:rsid w:val="00D21DBE"/>
    <w:rsid w:val="00D2279F"/>
    <w:rsid w:val="00D22AF1"/>
    <w:rsid w:val="00D22E93"/>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0EE4"/>
    <w:rsid w:val="00D41004"/>
    <w:rsid w:val="00D42240"/>
    <w:rsid w:val="00D427C3"/>
    <w:rsid w:val="00D42EB8"/>
    <w:rsid w:val="00D44932"/>
    <w:rsid w:val="00D44D66"/>
    <w:rsid w:val="00D45D77"/>
    <w:rsid w:val="00D46111"/>
    <w:rsid w:val="00D47C16"/>
    <w:rsid w:val="00D502AF"/>
    <w:rsid w:val="00D50764"/>
    <w:rsid w:val="00D50C12"/>
    <w:rsid w:val="00D518FF"/>
    <w:rsid w:val="00D51A77"/>
    <w:rsid w:val="00D53649"/>
    <w:rsid w:val="00D53830"/>
    <w:rsid w:val="00D53AF5"/>
    <w:rsid w:val="00D54FB3"/>
    <w:rsid w:val="00D55889"/>
    <w:rsid w:val="00D56B5F"/>
    <w:rsid w:val="00D57A3F"/>
    <w:rsid w:val="00D57AF0"/>
    <w:rsid w:val="00D61D30"/>
    <w:rsid w:val="00D62ECD"/>
    <w:rsid w:val="00D6334B"/>
    <w:rsid w:val="00D64426"/>
    <w:rsid w:val="00D645A3"/>
    <w:rsid w:val="00D65358"/>
    <w:rsid w:val="00D65A9C"/>
    <w:rsid w:val="00D65D78"/>
    <w:rsid w:val="00D66727"/>
    <w:rsid w:val="00D67BC5"/>
    <w:rsid w:val="00D7021B"/>
    <w:rsid w:val="00D70D33"/>
    <w:rsid w:val="00D728AE"/>
    <w:rsid w:val="00D729AE"/>
    <w:rsid w:val="00D73077"/>
    <w:rsid w:val="00D736A2"/>
    <w:rsid w:val="00D73C57"/>
    <w:rsid w:val="00D742FF"/>
    <w:rsid w:val="00D74E86"/>
    <w:rsid w:val="00D758B3"/>
    <w:rsid w:val="00D76ADC"/>
    <w:rsid w:val="00D77311"/>
    <w:rsid w:val="00D77413"/>
    <w:rsid w:val="00D7787C"/>
    <w:rsid w:val="00D80449"/>
    <w:rsid w:val="00D80978"/>
    <w:rsid w:val="00D81F10"/>
    <w:rsid w:val="00D8201E"/>
    <w:rsid w:val="00D822EC"/>
    <w:rsid w:val="00D8303C"/>
    <w:rsid w:val="00D836F7"/>
    <w:rsid w:val="00D84A57"/>
    <w:rsid w:val="00D84C3B"/>
    <w:rsid w:val="00D84DA7"/>
    <w:rsid w:val="00D864F8"/>
    <w:rsid w:val="00D874DF"/>
    <w:rsid w:val="00D87A12"/>
    <w:rsid w:val="00D90732"/>
    <w:rsid w:val="00D930E1"/>
    <w:rsid w:val="00D9415C"/>
    <w:rsid w:val="00D942CC"/>
    <w:rsid w:val="00D94ADE"/>
    <w:rsid w:val="00D94D87"/>
    <w:rsid w:val="00D962DC"/>
    <w:rsid w:val="00D97BB5"/>
    <w:rsid w:val="00DA0C12"/>
    <w:rsid w:val="00DA117C"/>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136"/>
    <w:rsid w:val="00DB5636"/>
    <w:rsid w:val="00DB6A80"/>
    <w:rsid w:val="00DB6C06"/>
    <w:rsid w:val="00DB71A2"/>
    <w:rsid w:val="00DB7B06"/>
    <w:rsid w:val="00DC2CCF"/>
    <w:rsid w:val="00DC3A9D"/>
    <w:rsid w:val="00DC3FF5"/>
    <w:rsid w:val="00DC6C1E"/>
    <w:rsid w:val="00DC708C"/>
    <w:rsid w:val="00DC73B1"/>
    <w:rsid w:val="00DC7951"/>
    <w:rsid w:val="00DD0F95"/>
    <w:rsid w:val="00DD1C4B"/>
    <w:rsid w:val="00DD1F7B"/>
    <w:rsid w:val="00DD229E"/>
    <w:rsid w:val="00DD2BA5"/>
    <w:rsid w:val="00DD3029"/>
    <w:rsid w:val="00DD31DA"/>
    <w:rsid w:val="00DD3E21"/>
    <w:rsid w:val="00DD55E0"/>
    <w:rsid w:val="00DD5E12"/>
    <w:rsid w:val="00DE0C66"/>
    <w:rsid w:val="00DE1904"/>
    <w:rsid w:val="00DE3DBB"/>
    <w:rsid w:val="00DE43A2"/>
    <w:rsid w:val="00DE4A74"/>
    <w:rsid w:val="00DE4B05"/>
    <w:rsid w:val="00DE541C"/>
    <w:rsid w:val="00DE5E79"/>
    <w:rsid w:val="00DE737B"/>
    <w:rsid w:val="00DF0587"/>
    <w:rsid w:val="00DF100B"/>
    <w:rsid w:val="00DF23CA"/>
    <w:rsid w:val="00DF2929"/>
    <w:rsid w:val="00DF3813"/>
    <w:rsid w:val="00DF3B76"/>
    <w:rsid w:val="00DF4359"/>
    <w:rsid w:val="00DF4C1A"/>
    <w:rsid w:val="00DF5D57"/>
    <w:rsid w:val="00DF7751"/>
    <w:rsid w:val="00E031BB"/>
    <w:rsid w:val="00E0424A"/>
    <w:rsid w:val="00E04534"/>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463"/>
    <w:rsid w:val="00E20155"/>
    <w:rsid w:val="00E21DE4"/>
    <w:rsid w:val="00E239D1"/>
    <w:rsid w:val="00E26727"/>
    <w:rsid w:val="00E26970"/>
    <w:rsid w:val="00E27791"/>
    <w:rsid w:val="00E30F2D"/>
    <w:rsid w:val="00E319DB"/>
    <w:rsid w:val="00E31AFC"/>
    <w:rsid w:val="00E3304B"/>
    <w:rsid w:val="00E331BF"/>
    <w:rsid w:val="00E3409E"/>
    <w:rsid w:val="00E344B7"/>
    <w:rsid w:val="00E34F76"/>
    <w:rsid w:val="00E37BE5"/>
    <w:rsid w:val="00E41A27"/>
    <w:rsid w:val="00E41E2F"/>
    <w:rsid w:val="00E42910"/>
    <w:rsid w:val="00E430C7"/>
    <w:rsid w:val="00E457DC"/>
    <w:rsid w:val="00E4608B"/>
    <w:rsid w:val="00E464EC"/>
    <w:rsid w:val="00E46FF0"/>
    <w:rsid w:val="00E501D3"/>
    <w:rsid w:val="00E53A01"/>
    <w:rsid w:val="00E553CE"/>
    <w:rsid w:val="00E564C4"/>
    <w:rsid w:val="00E567C9"/>
    <w:rsid w:val="00E57C30"/>
    <w:rsid w:val="00E604C4"/>
    <w:rsid w:val="00E60809"/>
    <w:rsid w:val="00E60ED3"/>
    <w:rsid w:val="00E611AE"/>
    <w:rsid w:val="00E61300"/>
    <w:rsid w:val="00E6135E"/>
    <w:rsid w:val="00E614F2"/>
    <w:rsid w:val="00E635B9"/>
    <w:rsid w:val="00E6507D"/>
    <w:rsid w:val="00E65D15"/>
    <w:rsid w:val="00E66C49"/>
    <w:rsid w:val="00E67EE5"/>
    <w:rsid w:val="00E7013A"/>
    <w:rsid w:val="00E70BB6"/>
    <w:rsid w:val="00E71099"/>
    <w:rsid w:val="00E74104"/>
    <w:rsid w:val="00E7473C"/>
    <w:rsid w:val="00E74F5D"/>
    <w:rsid w:val="00E750D8"/>
    <w:rsid w:val="00E757A8"/>
    <w:rsid w:val="00E76034"/>
    <w:rsid w:val="00E80440"/>
    <w:rsid w:val="00E80515"/>
    <w:rsid w:val="00E817E0"/>
    <w:rsid w:val="00E819FB"/>
    <w:rsid w:val="00E827D2"/>
    <w:rsid w:val="00E82AE8"/>
    <w:rsid w:val="00E82EE4"/>
    <w:rsid w:val="00E831E7"/>
    <w:rsid w:val="00E843B5"/>
    <w:rsid w:val="00E84409"/>
    <w:rsid w:val="00E84A3B"/>
    <w:rsid w:val="00E85307"/>
    <w:rsid w:val="00E907E4"/>
    <w:rsid w:val="00E90924"/>
    <w:rsid w:val="00E90A24"/>
    <w:rsid w:val="00E90C34"/>
    <w:rsid w:val="00E917E6"/>
    <w:rsid w:val="00E919AC"/>
    <w:rsid w:val="00E93687"/>
    <w:rsid w:val="00E946A6"/>
    <w:rsid w:val="00E947E4"/>
    <w:rsid w:val="00E94C9F"/>
    <w:rsid w:val="00E96A29"/>
    <w:rsid w:val="00E96B28"/>
    <w:rsid w:val="00E96FE6"/>
    <w:rsid w:val="00EA0A5C"/>
    <w:rsid w:val="00EA0AD2"/>
    <w:rsid w:val="00EA0CF0"/>
    <w:rsid w:val="00EA1D43"/>
    <w:rsid w:val="00EA29B4"/>
    <w:rsid w:val="00EA2D7E"/>
    <w:rsid w:val="00EA4EC9"/>
    <w:rsid w:val="00EA54D5"/>
    <w:rsid w:val="00EA5E0F"/>
    <w:rsid w:val="00EA6103"/>
    <w:rsid w:val="00EA6FE4"/>
    <w:rsid w:val="00EA7723"/>
    <w:rsid w:val="00EA7F4C"/>
    <w:rsid w:val="00EB1D47"/>
    <w:rsid w:val="00EB2146"/>
    <w:rsid w:val="00EB2317"/>
    <w:rsid w:val="00EB279B"/>
    <w:rsid w:val="00EB2ABB"/>
    <w:rsid w:val="00EB55CA"/>
    <w:rsid w:val="00EB584C"/>
    <w:rsid w:val="00EB5D88"/>
    <w:rsid w:val="00EB7307"/>
    <w:rsid w:val="00EC0969"/>
    <w:rsid w:val="00EC14B0"/>
    <w:rsid w:val="00EC204E"/>
    <w:rsid w:val="00EC249E"/>
    <w:rsid w:val="00EC2966"/>
    <w:rsid w:val="00EC2CFF"/>
    <w:rsid w:val="00EC5F2F"/>
    <w:rsid w:val="00EC651E"/>
    <w:rsid w:val="00EC692E"/>
    <w:rsid w:val="00EC745E"/>
    <w:rsid w:val="00EC7EAF"/>
    <w:rsid w:val="00ED0D84"/>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29DB"/>
    <w:rsid w:val="00EE3663"/>
    <w:rsid w:val="00EE41C4"/>
    <w:rsid w:val="00EE4A40"/>
    <w:rsid w:val="00EE5535"/>
    <w:rsid w:val="00EE5594"/>
    <w:rsid w:val="00EE619C"/>
    <w:rsid w:val="00EE76A9"/>
    <w:rsid w:val="00EE799E"/>
    <w:rsid w:val="00EE7B5A"/>
    <w:rsid w:val="00EE7C7E"/>
    <w:rsid w:val="00EE7CA8"/>
    <w:rsid w:val="00EE7FA7"/>
    <w:rsid w:val="00EF0963"/>
    <w:rsid w:val="00EF1093"/>
    <w:rsid w:val="00EF1707"/>
    <w:rsid w:val="00EF1FCB"/>
    <w:rsid w:val="00EF21C3"/>
    <w:rsid w:val="00EF2E6B"/>
    <w:rsid w:val="00EF44BC"/>
    <w:rsid w:val="00EF44F4"/>
    <w:rsid w:val="00F0030E"/>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10C7"/>
    <w:rsid w:val="00F213FF"/>
    <w:rsid w:val="00F2260F"/>
    <w:rsid w:val="00F22F46"/>
    <w:rsid w:val="00F242AD"/>
    <w:rsid w:val="00F247F2"/>
    <w:rsid w:val="00F24D4C"/>
    <w:rsid w:val="00F252A8"/>
    <w:rsid w:val="00F25C8F"/>
    <w:rsid w:val="00F2608D"/>
    <w:rsid w:val="00F265F7"/>
    <w:rsid w:val="00F27FA6"/>
    <w:rsid w:val="00F32425"/>
    <w:rsid w:val="00F33DC8"/>
    <w:rsid w:val="00F34444"/>
    <w:rsid w:val="00F360A6"/>
    <w:rsid w:val="00F36C68"/>
    <w:rsid w:val="00F3749B"/>
    <w:rsid w:val="00F376AB"/>
    <w:rsid w:val="00F37F25"/>
    <w:rsid w:val="00F4065A"/>
    <w:rsid w:val="00F40F19"/>
    <w:rsid w:val="00F4275C"/>
    <w:rsid w:val="00F45693"/>
    <w:rsid w:val="00F456AE"/>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8FD"/>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265A"/>
    <w:rsid w:val="00FA3230"/>
    <w:rsid w:val="00FA3F80"/>
    <w:rsid w:val="00FA413A"/>
    <w:rsid w:val="00FA4144"/>
    <w:rsid w:val="00FA4DDF"/>
    <w:rsid w:val="00FA52EC"/>
    <w:rsid w:val="00FA629E"/>
    <w:rsid w:val="00FA68DC"/>
    <w:rsid w:val="00FA6E7F"/>
    <w:rsid w:val="00FA6EF4"/>
    <w:rsid w:val="00FA7114"/>
    <w:rsid w:val="00FB0826"/>
    <w:rsid w:val="00FB2379"/>
    <w:rsid w:val="00FB4407"/>
    <w:rsid w:val="00FB4B8A"/>
    <w:rsid w:val="00FB5152"/>
    <w:rsid w:val="00FB680E"/>
    <w:rsid w:val="00FC0065"/>
    <w:rsid w:val="00FC15E7"/>
    <w:rsid w:val="00FC3AEE"/>
    <w:rsid w:val="00FC6238"/>
    <w:rsid w:val="00FC78AD"/>
    <w:rsid w:val="00FD0D70"/>
    <w:rsid w:val="00FD1D37"/>
    <w:rsid w:val="00FD254A"/>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185"/>
    <w:rsid w:val="00FE2398"/>
    <w:rsid w:val="00FE515A"/>
    <w:rsid w:val="00FE5624"/>
    <w:rsid w:val="00FE5D2C"/>
    <w:rsid w:val="00FE5FBF"/>
    <w:rsid w:val="00FE6C25"/>
    <w:rsid w:val="00FF033A"/>
    <w:rsid w:val="00FF035A"/>
    <w:rsid w:val="00FF0964"/>
    <w:rsid w:val="00FF16F2"/>
    <w:rsid w:val="00FF1D24"/>
    <w:rsid w:val="00FF2B42"/>
    <w:rsid w:val="00FF3B7F"/>
    <w:rsid w:val="00FF42A0"/>
    <w:rsid w:val="00FF6822"/>
    <w:rsid w:val="00FF6839"/>
    <w:rsid w:val="00FF72B0"/>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qFormat/>
    <w:locked/>
    <w:rsid w:val="0003163F"/>
    <w:rPr>
      <w:rFonts w:ascii="Arial" w:hAnsi="Arial"/>
      <w:b/>
      <w:sz w:val="18"/>
      <w:lang w:val="en-GB"/>
    </w:rPr>
  </w:style>
  <w:style w:type="character" w:customStyle="1" w:styleId="normaltextrun1">
    <w:name w:val="normaltextrun1"/>
    <w:basedOn w:val="DefaultParagraphFont"/>
    <w:rsid w:val="00361A55"/>
  </w:style>
  <w:style w:type="character" w:customStyle="1" w:styleId="TALCar">
    <w:name w:val="TAL Car"/>
    <w:link w:val="TAL"/>
    <w:locked/>
    <w:rsid w:val="007A36F5"/>
    <w:rPr>
      <w:rFonts w:ascii="Arial" w:hAnsi="Arial"/>
      <w:sz w:val="18"/>
      <w:lang w:val="en-GB"/>
    </w:rPr>
  </w:style>
  <w:style w:type="character" w:customStyle="1" w:styleId="TANChar">
    <w:name w:val="TAN Char"/>
    <w:link w:val="TAN"/>
    <w:locked/>
    <w:rsid w:val="007A36F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1950963">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840706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3995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7931485">
      <w:bodyDiv w:val="1"/>
      <w:marLeft w:val="0"/>
      <w:marRight w:val="0"/>
      <w:marTop w:val="0"/>
      <w:marBottom w:val="0"/>
      <w:divBdr>
        <w:top w:val="none" w:sz="0" w:space="0" w:color="auto"/>
        <w:left w:val="none" w:sz="0" w:space="0" w:color="auto"/>
        <w:bottom w:val="none" w:sz="0" w:space="0" w:color="auto"/>
        <w:right w:val="none" w:sz="0" w:space="0" w:color="auto"/>
      </w:divBdr>
    </w:div>
    <w:div w:id="16468572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0854973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18498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yperlink" Target="http://www.3gpp.org/ftp/tsg_ran/TSG_RAN/TSGR_80/Docs/RP-1813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5AIRPNAIUNRU-1830940522-4392</_dlc_DocId>
    <_dlc_DocIdUrl xmlns="71c5aaf6-e6ce-465b-b873-5148d2a4c105">
      <Url>https://nokia.sharepoint.com/sites/c5g/5gradio/_layouts/15/DocIdRedir.aspx?ID=5AIRPNAIUNRU-1830940522-4392</Url>
      <Description>5AIRPNAIUNRU-1830940522-4392</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purl.org/dc/terms/"/>
    <ds:schemaRef ds:uri="ebabf6ce-2443-438c-9946-ecc878e7654a"/>
    <ds:schemaRef ds:uri="71c5aaf6-e6ce-465b-b873-5148d2a4c105"/>
    <ds:schemaRef ds:uri="95d2e41d-1f11-4347-bb1c-11d6a32975dd"/>
    <ds:schemaRef ds:uri="3b34c8f0-1ef5-4d1e-bb66-517ce7fe7356"/>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CCCB358-B381-44CF-98AF-2E647DDF9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5.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6.xml><?xml version="1.0" encoding="utf-8"?>
<ds:datastoreItem xmlns:ds="http://schemas.openxmlformats.org/officeDocument/2006/customXml" ds:itemID="{4D2919C9-9746-478D-9E00-BAC6C79C6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1817</Words>
  <Characters>10360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2018-11-02T20:12:00Z</dcterms:created>
  <dcterms:modified xsi:type="dcterms:W3CDTF">2018-11-02T20:12:00Z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dcc9c746-db58-4fe2-8d8d-8d55506bf242</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